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126 vom 9. Februar 2016</w:t>
      </w:r>
    </w:p>
    <w:p>
      <w:r>
        <w:t>VD Tribunal cantonal, 2016-02-09, FR</w:t>
      </w:r>
    </w:p>
    <w:p>
      <w:r>
        <w:rPr>
          <w:b/>
        </w:rPr>
        <w:t xml:space="preserve">Quelle: </w:t>
      </w:r>
      <w:r>
        <w:t>https://mcp.opencaselaw.ch/entscheid/vd_findinfo_Jug___2016___126</w:t>
      </w:r>
    </w:p>
    <w:p>
      <w:r>
        <w:t>FR: VD_FINDINFO Jug / 2016 / 126 du 9 février 2016</w:t>
      </w:r>
    </w:p>
    <w:p>
      <w:r>
        <w:t>IT: VD_FINDINFO Jug / 2016 / 126 del 9 febbraio 2016</w:t>
      </w:r>
    </w:p>
    <w:p>
      <w:pPr>
        <w:pStyle w:val="Heading2"/>
      </w:pPr>
      <w:r>
        <w:t>Regeste</w:t>
      </w:r>
    </w:p>
    <w:p>
      <w:r>
        <w:t>MAXIME INQUISITOIRE, CONSTATATION DES FAITS, ACQUITTEMENT | 6 CPP (CH)</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 1 let. c CPP) et la cause ressort de la compétence d’un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Le Ministère public reproche au premier juge de ne pas avoir suffisamment instruit le point de savoir si le prévenu était ou non porteur de ses lunettes au moment de l’arrêt de sa machine. Selon l’appelant, il appartenait à tout le moins au tribunal de citer ou d’interpeller les gendarmes dénonciateurs pour éclaircir ce point et, n’ayant pas procédé de la sorte, l’état de fait retenu par le premier juge l’aurait été violation de l’art. 6 CPP. Le reproche formulé par l’appelant n’est pas fondé. Il résulte en effet du jugement que le sergent major Z.________ a été interpellé par la Préfecture par courriel du 17 novembre 2015, le représentant des forces de l’ordre ayant précisé que le prévenu avait ses lunettes autour du cou lors du contrôle qu’il avait lui-même effectué. Le tribunal s’est aussi enquis de savoir si le conducteur pouvait conduire sans lunettes. Un avis médical figurant au dossier (cf. annexe ad P. 6) atteste que non. Dans ces circonstances, on ne voit pas quelle démarche supplémentaire pouvait être entreprise pour lever le doute résultant de l’instruction. Mal fondé, le moyen doit être rejeté.</w:t>
      </w:r>
    </w:p>
    <w:p>
      <w:r>
        <w:rPr>
          <w:b/>
        </w:rPr>
        <w:t>E. 3</w:t>
      </w:r>
    </w:p>
    <w:p>
      <w:r>
        <w:t>Reste à déterminer, en application de l’art. 398 al. 4 CPP rappelé ci-dessus, si le jugement dont est appel souffre d’une constatation ou d’une appréciation manifestement inexacte. En l’occurrence, l’intimé explique qu’il portait ses lunettes pour conduire et qu’il les a ôtées lorsqu’il a ouvert la vitre de son véhicule et que le policier lui a demandé ses papiers. Interrogé par le premier juge, il a notamment précisé que ses lunettes étaient toujours attachées à son cou et qu’il les mettait pour conduire mais qu’il n’en avait pas besoin pour voir de près. Il a ajouté qu’il ne disposait pas de verres progressifs lui permettant de garder ses lunettes pour voir de près et de loin (cf. jgt, p.4). L’explication fournie par le prévenu est parfaitement plausible. Quant au policier, il a dit que le conducteur ne portait pas ses lunettes au moment du contrôle ce qui est tout à fait possible sur le vu des explications qui précèdent. Cela ne veut toutefois pas encore dire que le prévenu conduisait sans lunettes avant d’être interpellé puisque, comme le dit l’intimé, ses lunettes sont attachées à son cou et qu’il peut ainsi les ôter sans se soucier de savoir où il les pose. Il n’est pas impossible que ce geste rapide, alors qu’il faisait nuit – l’interpellation a eu lieu peu après minuit -, ait échappé au policier. A cela s’ajoute qu’il est clairement établi que le prévenu ne peut pas conduire sans lunettes. L’ensemble de ces circonstances conduisent à admettre, comme l’a fait le premier juge, l’existence d’un doute raisonnable sur le point litigieux, de sorte que l’on doit considérer que le prévenu a respecté la condition figurant sur son permis de conduire. Il doit ainsi être libéré de l’infraction de violation simple des règles de la circulation.</w:t>
      </w:r>
    </w:p>
    <w:p>
      <w:r>
        <w:rPr>
          <w:b/>
        </w:rPr>
        <w:t>E. 4</w:t>
      </w:r>
    </w:p>
    <w:p>
      <w:r>
        <w:t>En définitive, l’appel du Ministère public doit être rejeté et le jugement de première instance intégralement confirmé. Vu l’issue de la cause, les frais d’appel, constitués en l’espèce de l’émolument d’arrêt, par 540 fr., seront supportés par l’Etat (art. 428 al. 1 CPP). Voyant son acquittement confirmé, l’intimé a droit à une indemnité pour l’exercice raisonnable de ses droits de procédure dans le cadre de l’appel (art. 429 al. 1 let. a CPP). Le recours au service d’un avocat se justifiait en effet en deuxième instance, dès lors que le Ministère public avait formé un appel. Au vu de la liste des opérations produites par son conseil et de l’ensemble des circonstances, notamment la simplicité de la cause, le montant de l’indemnité doit être arrêté sur la base d’une durée d’activité utile de son mandataire de 3 heures, à 250 fr. l’heure, auquel il convient d’ajouter 60 fr. pour couvrir les frais liés à la TVA. Cela représente un montant total de 810 fr.,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