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125 vom 20. April 2016</w:t>
      </w:r>
    </w:p>
    <w:p>
      <w:r>
        <w:t>VD Tribunal cantonal, 2016-04-20, FR</w:t>
      </w:r>
    </w:p>
    <w:p>
      <w:r>
        <w:rPr>
          <w:b/>
        </w:rPr>
        <w:t xml:space="preserve">Quelle: </w:t>
      </w:r>
      <w:r>
        <w:t>https://mcp.opencaselaw.ch/entscheid/vd_findinfo_Jug___2016___125</w:t>
      </w:r>
    </w:p>
    <w:p>
      <w:r>
        <w:t>FR: VD_FINDINFO Jug / 2016 / 125 du 20 avril 2016</w:t>
      </w:r>
    </w:p>
    <w:p>
      <w:r>
        <w:t>IT: VD_FINDINFO Jug / 2016 / 125 del 20 aprile 2016</w:t>
      </w:r>
    </w:p>
    <w:p>
      <w:pPr>
        <w:pStyle w:val="Heading2"/>
      </w:pPr>
      <w:r>
        <w:t>Regeste</w:t>
      </w:r>
    </w:p>
    <w:p>
      <w:r>
        <w:t>LÉSION CORPORELLE SIMPLE, DOMMAGES À LA PROPRIÉTÉ{DROIT PÉNAL}, ESCROQUERIE, PAR MÉTIER, MENACE{DROIT PÉNAL}, ENTRAVE À LA CIRCULATION PUBLIQUE, FAUX INTELLECTUEL DANS LES TITRES, FAUX MATÉRIEL DANS LES TITRES, DÉNONCIATION CALOMNIEUSE, INDUCTION DE LA JUSTICE EN ERREUR, CONDUITE SANS AUTORISATION, USAGE ABUSIF DE PERMIS ET DE PLAQUES | 123 CP, 144 CP, 146 CP, 180 CP, 19 CP, 237 CP, 303 CP, 40 CP, 46 al. 1 CP, 47 CP, 49 CP, 50 CP, 67 CP, 69 CP, 90 al. 1 LCR, 90 al. 2 LCR, 90 LCR, 96 ch. 2 LCR, 97 LCR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2.1</w:t>
      </w:r>
    </w:p>
    <w:p>
      <w:r>
        <w:t>Au considérant 3 de son arrêt de renvoi (TF 11 février 2016 6B_117/2015), la Haute Cour, se réfère aux faits décrits au cas no 7 de l'acte d'accusation. S'agissant des relations de l'intéressé avec l'[...], elle constate que la cour de céans a retenu à tort une tentative d'escroquerie, les faits retenus ne permettant pas de déterminer s'il y eu tromperie astucieuse, et donc escroquerie.</w:t>
      </w:r>
    </w:p>
    <w:p>
      <w:r>
        <w:rPr>
          <w:b/>
        </w:rPr>
        <w:t>E. 2.2</w:t>
      </w:r>
    </w:p>
    <w:p>
      <w:r>
        <w:t>Le prévenu a été libéré d'une infraction de faux dans les titres, s'agissant du cas no 16 de l'acte d'accusation. La facture incriminée étant un mensonge écrit sans valeur probante accrue, l'infraction de faux intellectuel n'était pas réalisée (TF 6B_117/2015 consid. 11).</w:t>
      </w:r>
    </w:p>
    <w:p>
      <w:r>
        <w:rPr>
          <w:b/>
        </w:rPr>
        <w:t>E. 2.3</w:t>
      </w:r>
    </w:p>
    <w:p>
      <w:r>
        <w:t>S'agissant du cas no 20 de l'acte d'accusation, il convenait d'abandonner la violation grave des règles de la circulation, la cour de céans ayant reconnu, en page 56 de son jugement, que l'intéressé qui sortait d'une place de parc, n'avait pas créé un danger sérieux pour l'intégrité physique de l'autre conducteur (TF 6B_117/2015 consid. 14).</w:t>
      </w:r>
    </w:p>
    <w:p>
      <w:r>
        <w:rPr>
          <w:b/>
        </w:rPr>
        <w:t>E. 2.4</w:t>
      </w:r>
    </w:p>
    <w:p>
      <w:r>
        <w:t>Les faits décrits au cas 27 de l'acte d'accusation ne constituaient pas non plus une violation grave des règles de la circulation. L'instruction n'avait pas permis d'établir la vitesse au moment du choc, de sorte que l'on ne pouvait pas se prononcer sur l'intensité du danger pour la sécurité publique éventuellement représenté par l'intéressé (TF 6B_117/2015 consid. 14).</w:t>
      </w:r>
    </w:p>
    <w:p>
      <w:r>
        <w:rPr>
          <w:b/>
        </w:rPr>
        <w:t>E. 2.5</w:t>
      </w:r>
    </w:p>
    <w:p>
      <w:r>
        <w:t>Pour le cas no 24 de l'acte d'accusation, seule une violation simple des règles de la circulation devait être retenue. Le prévenu avait heurté volontairement la voiture de A.R.________ qui s'apprêtait à faire un parcage latéral et qui était à l'arrêt au moment du choc (TF 6B_117/2015 consid. 18). Il en était de même pour les cas décrits no 25 et 28 de l'acte d'accusation, dès lors que l'intéressé roulait à faible vitesse (TF 6B_117/2015 consid. 19 et 22).</w:t>
      </w:r>
    </w:p>
    <w:p>
      <w:r>
        <w:rPr>
          <w:b/>
        </w:rPr>
        <w:t>E. 2.6</w:t>
      </w:r>
    </w:p>
    <w:p>
      <w:r>
        <w:t>Comme le demande le Tribunal fédéral au considérant 9 de son arrêt, il faut examiner si les faits décrits au cas no 13 de l'acte d'accusation relèvent de l'astuce. A Yverdon-les-Bains, le 21 décembre 2009, le prévenu a annoncé le sinistre du 28 octobre 2009 à la A.E.________ en prétendant mensongèrement que les faits s'étaient passés le 18 décembre 2009. Il avait auparavant conclu un contrat d'assurance le 3 décembre 2009. A.E.________ a refusé de le dédommager en raison du fait qu’il avait donné de fausses informations au moment de la conclusion du contrat d’assurance. Selon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 81). Le prévenu a admis ces faits. Il a contesté que ses mensonges aient été astucieux, à juste titre. En effet, l'assurance aurait dû les déceler par des contrôles usuels. Le cas ne constitue donc pas une escroquerie, faute d'astuce.</w:t>
      </w:r>
    </w:p>
    <w:p>
      <w:r>
        <w:rPr>
          <w:b/>
        </w:rPr>
        <w:t>E. 2.7</w:t>
      </w:r>
    </w:p>
    <w:p>
      <w:r>
        <w:t>Aux considérants 2, 4, 6, 7, 8, 10, 12, 13, 15, 16, 17, 20 et 23 de son arrêt, le Tribunal fédéral a confirmé les qualifications juridiques retenues par la cour de céans pour les no 5 (tentative d'escroquerie et faux dans les titres), 8 (induction de la justice en erreur et escroquerie), 10 (escroquerie), 11 (escroquerie), 12 (tentative d'escroquerie), 14 (tentative d'escroquerie), 15 (menaces et lésions corporelles simples), 17 (induction de la justice en erreur et faux dans les titres), 19 (violation grave des règles de la circulation routière et escroquerie), 21 (violation grave des règles de la circulation routière et escroquerie), 22 (faux dans les titres), 23 (tentative d'escroquerie et entrave à la circulation publique), 26 (escroquerie et faux dans les titres) et 30 (escroquerie) de l'acte. Il a en outre admis l'escroquerie par métier même si l'intéressé avait reçu de faibles montants des assurances et que la majeure partie des cas concernait des tentatives, les assurances ayant refusé de l'indemniser en raison de fausses indications données par l'intéressé au moment de la conclusion du contrat (cf. consid. 24).</w:t>
      </w:r>
    </w:p>
    <w:p>
      <w:r>
        <w:rPr>
          <w:b/>
        </w:rPr>
        <w:t>E. 2.8</w:t>
      </w:r>
    </w:p>
    <w:p>
      <w:r>
        <w:t>Aux débats d'appel, le Ministère public a déclaré renoncer à l'accusation sur les points qui ont fait l'objet du renvoi par le Tribunal fédéral.</w:t>
      </w:r>
    </w:p>
    <w:p>
      <w:r>
        <w:rPr>
          <w:b/>
        </w:rPr>
        <w:t>E. 2.9</w:t>
      </w:r>
    </w:p>
    <w:p>
      <w:r>
        <w:t>Cela étant et vu l'arrêt de renvoi (cf. consid. 1 supra), il y a lieu de libérer le prévenu de deux escroqueries (cas no 7 et 13), d'un cas de faux dans les titres (cas no 16), de deux infractions graves à la LCR (cas no 20 et 27) et de considérer que les faits retenus aux cas 24, 25 et 28 constituent des violations simples (et non graves) des règles de la circulation.</w:t>
      </w:r>
    </w:p>
    <w:p>
      <w:r>
        <w:rPr>
          <w:b/>
        </w:rPr>
        <w:t>E. 3</w:t>
      </w:r>
    </w:p>
    <w:p>
      <w:r>
        <w:t>Il convient de fixer une nouvelle la peine à infliger au prévenu (TF 6B_117/2015 consid. 25 et 26).</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TF 6B_408/2012 du 1 er novembre 2012 consid. 1.1).</w:t>
      </w:r>
    </w:p>
    <w:p>
      <w:r>
        <w:rPr>
          <w:b/>
        </w:rPr>
        <w:t>E. 3.2</w:t>
      </w:r>
    </w:p>
    <w:p>
      <w:r>
        <w:t>Les principes qui président à la fixation de la peine en cas de diminution de la responsabilité au sens de l’art. 19 al. 2 CP ont été développés dans un arrêt du 8 mars 2010 (ATF 136 IV 55, JT 2010 IV 127, spéc. consid. 5.7). En modification de la jurisprudence antérieure (ATF 134 IV 132 consid. 6.1), il s'agit, comme on le verra plus en détail ci-dessous, de diminuer la faute et non la peine; la réduction de la peine n'est que la conséquence de la faute plus légère (cf. aussi TF 6B_356/2012 du 1 er octobre 2012 consid. 3.2). Le juge dispose comme avant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(TF 6B_356/2012 précité consid. 3.2.1; ATF 136 IV 55 consid. 5.6). La fixation d'une peine d'ensemble prononcée sur la base de l'art. 46 al. 1 2e phrase CP n'entre pas en considération si, comme en l'espèce, la peine assortie du sursis révoqué et celle nouvellement prononcée sont du même genre (6B_117/2015 consid. 25 et les références citées).</w:t>
      </w:r>
    </w:p>
    <w:p>
      <w:r>
        <w:rPr>
          <w:b/>
        </w:rPr>
        <w:t>E. 3.3</w:t>
      </w:r>
    </w:p>
    <w:p>
      <w:r>
        <w:t>Les éléments à charge sont particulièrement nombreux et significatifs. Le prévenu a provoqué une impressionnante série d’accidents dans le dessein de percevoir des prestations d’assurance indues, portant ainsi délibérément atteinte à la propriété si ce n’est même à la sécurité de tiers innocents, ainsi qu’à la sécurité du trafic routier; plus encore, il a, durant une période prolongée, perçu des prestations d’assistance dépassant celles auxquelles il avait droit. Il a ainsi agi par pur dessein de lucre. A ceci s’ajoute que sa précédente condamnation et l’exécution d’une part de la peine privative de liberté n’ont eu aucun effet sur l’auteur, qui a recommencé à commettre le même type d’infractions, sous une forme légèrement différente, sitôt libéré de détention. Plus encore, la première infraction ici en cause a été perpétrée le surlendemain seulement de la condamnation précédente. Il y a donc une situation caractérisée de récidive : l’auteur a réitéré la même année que le jugement précédent, sachant qu’il avait été condamné à une peine conséquente et qu’il allait devoir en purger une partie, puis a recommencé à nouveau après un an de détention, malgré le sursis partiel. Ce faisant, il a lourdement trompé la confiance placée en lui. Cette récidive spéciale est d’autant plus inquiétante que la peine précédente était lourde et que le prévenu pouvait ainsi mesurer la portée de ses actes. Mensonges et dissimulation constituent ainsi pour l’appelant un véritable mode de vie; il a commis une infraction par mois en moyenne. Ce comportement étaye, si besoin en était, la personnalité dyssociale mise en évidence par l’experte. Qui plus est, l’appelant ne se limite pas à des infractions contre le patrimoine, mais n’a pas hésité à commettre une agression gratuite, doublée d’injures, contre une jeune fille à la faveur d’un prétexte futile. La pluralité des types de victimes et la diversité des intérêts juridiquement protégés auxquels il a porté atteinte témoignent d’une propension récurrente à la délinquance – allant jusqu’à la violence physique contre une victime sans défense – particulièrement inquiétante. Enfin, il y a concours d’infractions. A décharge on retiendra la diminution de la faute résultant de la diminution de responsabilité. On tiendra également compte du fait qu'en définitive, le prévenu n’a réussi à soutirer que relativement peu d’argent des assureurs et qu’il a signé des reconnaissances de dette en faveur de certaines de ses victimes, l’un des assureurs ayant d’ores et déjà reçu quelques acomptes mensuels de 100 francs.  On tiendra encore compte de l'évolution personnelle de l'intéressé et de son bon comportement en prison, tels qu'ils ressortent des pièces produites au cours de l'audience de ce jour. Le Ministère public a requis une peine privative de liberté de 38 mois, sous déduction de la préventive et d'exécution anticipée de peine. L'appelant s'est rallié aux conclusions du Ministère public. Cette peine est adéquate au vu des éléments ci-dessus. On en déduira 455 jours de détention provisoire, plus 151 jours d'exécution de peine à la date du jugement de première instance, plus la détention subie depuis le jugement de première instance. Cette peine est partiellement complémentaire à celle prononcée le 9 décembre 2009 par le Tribunal correctionnel de la Broye et du Nord vaudois. Le maintien en détention de X.________ sera ordonné (art. 220 al. 2 et 221 al. 1 CPP).</w:t>
      </w:r>
    </w:p>
    <w:p>
      <w:r>
        <w:rPr>
          <w:b/>
        </w:rPr>
        <w:t>E. 4</w:t>
      </w:r>
    </w:p>
    <w:p>
      <w:r>
        <w:t>En définitive, l'appel doit être partiellement admis et le jugement Tribunal correctionnel de l'arrondissement de la Broye et du Nord vaudois du 15 juillet 2014 modifié aux chiffres I à III de son dispositif dans le sens de ce qui précède. Ce jugement doit être confirmé pour le surplus.</w:t>
      </w:r>
    </w:p>
    <w:p>
      <w:r>
        <w:rPr>
          <w:b/>
        </w:rPr>
        <w:t>E. 5</w:t>
      </w:r>
    </w:p>
    <w:p>
      <w:r>
        <w:t>Les indemnités de défenseur d'office des procédures d'appel d'un montant de 3'078 fr. et d'un montant de 1'231 fr. 20, TVA et débours compris, sont alloués à Me Kathrin Gruber. Ce dernier montant qui correspond à ce que requiert l'avocate prénommée, comprend 5 h à 180 fr., 240 fr. de débours et 8 % TVA.</w:t>
      </w:r>
    </w:p>
    <w:p>
      <w:r>
        <w:rPr>
          <w:b/>
        </w:rPr>
        <w:t>E. 6</w:t>
      </w:r>
    </w:p>
    <w:p>
      <w:r>
        <w:t>Vu le sort de l'appel, les frais d'appel antérieurs à l'arrêt du Tribunal fédéral du 11 février 2016, par 10'928 fr., y compris l'indemnité allouée à son défenseur d'office, par 3'078 fr. sont mis à la charge de X.________ à raison d'un tiers, soit 4'668 fr. 65 , le solde étant laissé à la charge de l'Etat. Seront également laissés à la charge de l'Etat les frais d'appel postérieurs à l'arrêt du Tribunal fédéral du 11 février 2016, y compris l'indemnité allouée à son défenseur d'office pour la seconde procédure d'appel, par 1'231 fr. 20.</w:t>
      </w:r>
    </w:p>
    <w:p>
      <w:r>
        <w:rPr>
          <w:b/>
        </w:rPr>
        <w:t>E. 7</w:t>
      </w:r>
    </w:p>
    <w:p>
      <w:r>
        <w:t>X.________ ne sera tenu de rembourser à l’Etat le tiers du montant de 3'078 fr en faveur de son conseil d’office prévue au ch. V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