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120 vom 27. November 2015</w:t>
      </w:r>
    </w:p>
    <w:p>
      <w:r>
        <w:t>VD Tribunal cantonal, 2015-11-27, FR</w:t>
      </w:r>
    </w:p>
    <w:p>
      <w:r>
        <w:rPr>
          <w:b/>
        </w:rPr>
        <w:t xml:space="preserve">Quelle: </w:t>
      </w:r>
      <w:r>
        <w:t>https://mcp.opencaselaw.ch/entscheid/vd_findinfo_Jug___2016___120</w:t>
      </w:r>
    </w:p>
    <w:p>
      <w:r>
        <w:t>FR: VD_FINDINFO Jug / 2016 / 120 du 27 novembre 2015</w:t>
      </w:r>
    </w:p>
    <w:p>
      <w:r>
        <w:t>IT: VD_FINDINFO Jug / 2016 / 120 del 27 novembre 2015</w:t>
      </w:r>
    </w:p>
    <w:p>
      <w:pPr>
        <w:pStyle w:val="Heading2"/>
      </w:pPr>
      <w:r>
        <w:t>Regeste</w:t>
      </w:r>
    </w:p>
    <w:p>
      <w:r>
        <w:t>IRRESPONSABILITÉ, ADMISSION DE LA DEMANDE | 19 CP, 406 al. 1 let. a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J.________ est recevable. En application de l'art. 406 al. 1 let. a CPP, la juridiction d'appel ne peut traiter l'appel en procédure écrite que si seuls des points de droit doivent être tranchés, ce qui est le cas en l’espèce.</w:t>
      </w:r>
    </w:p>
    <w:p>
      <w:r>
        <w:rPr>
          <w:b/>
        </w:rPr>
        <w:t>E. 2</w:t>
      </w:r>
    </w:p>
    <w:p>
      <w:r>
        <w:t>Invoquant une violation de l'art. 19 al. 1 CP, l'appelante soutient qu'elle ne serait pas punissable, puisqu'irresponsable, et qu'elle devrait par conséquent être libérée de toute infraction et non condamnée avec une exemption de peine.</w:t>
      </w:r>
    </w:p>
    <w:p>
      <w:r>
        <w:rPr>
          <w:b/>
        </w:rPr>
        <w:t>E. 2.1</w:t>
      </w:r>
    </w:p>
    <w:p>
      <w:r>
        <w:t>Aux termes de l'art. 19 CP, l'auteur n'est pas punissable si, au moment d'agir, il ne possédait pas la faculté d'apprécier le caractère illicite de son acte ou de se déterminer d'après cette appréciation (al. 1). Les mesures prévues aux art. 59 à 61, 63, 64, 67 et 67b peuvent cependant être ordonnées (al. 3). S'agissant des effets de l'irresponsabilité, on doit admettre que le délinquant déclaré irresponsable est inapte à toute faute. L'irresponsabilité déploie intégralement ses effets sur la culpabilité et sur la sanction (Moreillon in : Roth/Moreillon [éd.], Commentaire romand, Code pénal I, Bâle 2009, n. 24 ad art. 19 CP; Graven, L'infraction pénale punissable, 2 e éd., Berne 1995, n. 176 p. 234). Ainsi, lorsqu'un individu est reconnu irresponsable, il doit être affranchi de toute culpabilité et de toute peine, sous réserve du prononcé d'une mesure (Dupuis et al. [éd.], Petit commentaire, Code pénal, Bâle 2012, n. 10 ad art. 19 CP et les références citées). L'admission de l'irresponsabilité conduit à la libération de l'auteur et non à un verdict de culpabilité assorti d'une exemption de toute peine (Favre/Pellet/Stoudmann, éd. bis et ter, Lausanne 2011, Code pénal annoté, n. 1.3 ad art. 19 et la référence jurisprudentielle).</w:t>
      </w:r>
    </w:p>
    <w:p>
      <w:r>
        <w:rPr>
          <w:b/>
        </w:rPr>
        <w:t>E. 2.2</w:t>
      </w:r>
    </w:p>
    <w:p>
      <w:r>
        <w:t>Il résulte du rapport d'expertise du 25 mai 2015 et des faits non contestés établis par les premiers juges, que la responsabilité de J.________ était nulle au moment des faits. Partant, cette dernière doit être libérée de toute infraction.</w:t>
      </w:r>
    </w:p>
    <w:p>
      <w:r>
        <w:rPr>
          <w:b/>
        </w:rPr>
        <w:t>E. 3</w:t>
      </w:r>
    </w:p>
    <w:p>
      <w:r>
        <w:t>En conclusion, l'appel doit être admis et le jugement entrepris réformé en ce sens que J.________ est libérée de toute infraction et non seulement exemptée de peine. Le jugement doit être confirmé pour le surplus. Vu l’issue de la cause, les frais de la procédure d’appel, constitués de l’émolument d’arrêt, par 550 fr., et de l’indemnité allouée au défenseur d’office de l’appelante arrêtée à 630 fr. 20 , TVA et débours inclus,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