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118 vom 4. Mai 2015</w:t>
      </w:r>
    </w:p>
    <w:p>
      <w:r>
        <w:t>VD Tribunal cantonal, 2015-05-04, FR</w:t>
      </w:r>
    </w:p>
    <w:p>
      <w:r>
        <w:rPr>
          <w:b/>
        </w:rPr>
        <w:t xml:space="preserve">Quelle: </w:t>
      </w:r>
      <w:r>
        <w:t>https://mcp.opencaselaw.ch/entscheid/vd_findinfo_Jug___2016___118</w:t>
      </w:r>
    </w:p>
    <w:p>
      <w:r>
        <w:t>FR: VD_FINDINFO Jug / 2016 / 118 du 4 mai 2015</w:t>
      </w:r>
    </w:p>
    <w:p>
      <w:r>
        <w:t>IT: VD_FINDINFO Jug / 2016 / 118 del 4 maggio 2015</w:t>
      </w:r>
    </w:p>
    <w:p>
      <w:pPr>
        <w:pStyle w:val="Heading2"/>
      </w:pPr>
      <w:r>
        <w:t>Regeste</w:t>
      </w:r>
    </w:p>
    <w:p>
      <w:r>
        <w:t>FRAIS{EN GÉNÉRAL}, CHANTAGE, VOL{DROIT PÉNAL}, MENACE{DROIT PÉNAL}, CONSTATATION DES FAITS, CONTRAINTE{DROIT PÉNAL}, SURSIS À L'EXÉCUTION DE LA PEINE, PEINE PRIVATIVE DE LIBERTÉ | 139 ch. 1 CP, 156 ch. 3 CP, 180 al. 1 CP, 181 CP, 42 al. 1 CP, 43 al. 1 CP, 10 CPP (CH), 426 al. 1 CPP (CH)</w:t>
      </w:r>
    </w:p>
    <w:p>
      <w:pPr>
        <w:pStyle w:val="Heading2"/>
      </w:pPr>
      <w:r>
        <w:t>Erwägungen</w:t>
      </w:r>
    </w:p>
    <w:p>
      <w:r>
        <w:rPr>
          <w:b/>
        </w:rPr>
        <w:t>E. 1</w:t>
      </w:r>
    </w:p>
    <w:p>
      <w:r>
        <w:t>Interjetés dans les forme et délai légaux (art. 399 CPP [Code de procédure pénale suisse du 5 octobre 2007 ; RS 312.0]) par des parties ayant qualité pour recourir (art. 382 CPP) contre le jugement d’un tribunal de première instance qui a clos la procédure (art. 398 al. 1 CPP), l’appel du Ministère public et l’appel joint de O.________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Le Ministère public estime tout d’abord que c’est à tort que le tribunal a libéré A.________ de l’accusation de vol. Il fait valoir qu’A.________ a dérobé le téléphone portable de F.________ et que l’on ne saurait considé­rer que la valeur de l’iPhone 4S était insignifiante.</w:t>
      </w:r>
    </w:p>
    <w:p>
      <w:r>
        <w:rPr>
          <w:b/>
        </w:rPr>
        <w:t>E. 3.1</w:t>
      </w:r>
    </w:p>
    <w:p>
      <w:r>
        <w:t>Se rend coupable de vol celui qui, pour se procurer ou procurer à un tiers un enrichissement illégitime, aura soustrait une chose mobilière appartenant à autrui dans le but de se l'approprier (art. 139 ch. 1 CP). Pour que la soustraction d'une chose mobilière appartenant à autrui constitue un vol, il faut que l'auteur ait agi intentionnellement, dans le dessein de s'approprier cette chose et dans celui de se procurer ainsi, ou de procurer à autrui, un enrichissement illégitime. L’art. 172 ter CP prévoit que si l’acte ne visait qu’un élément patrimonial de faible valeur ou un dommage de moindre importance, l’auteur sera, sur plainte, puni d’une amende. Un élément patrimonial est de faible valeur au sens de cette dernière disposition s’il ne dépasse pas 300 francs. Le critère déterminant est l’intention de l’auteur, non pas son résultat. Dans le cas d’un vol à la tire lors duquel l’auteur ignore le contenu de ce qu’il va voler, il faut considérer, en l’absence d’indices contraires, que l’auteur agit tout au moins avec le dol éventuel d’obtenir un butin supérieur à 300 francs. Ce n’est que dans l’hypothèse où il subtilise un objet déterminé ou lorsqu’il a clairement vu la somme mise en poche que l’on appliquera l’art. 172 ter CP (ATF 123 IV 155, JdT1998 IV 170 consid. 1b).</w:t>
      </w:r>
    </w:p>
    <w:p>
      <w:r>
        <w:rPr>
          <w:b/>
        </w:rPr>
        <w:t>E. 3.2</w:t>
      </w:r>
    </w:p>
    <w:p>
      <w:r>
        <w:t>En l’espèce, à l’instar des premiers juges, la cour de céans considère que le prévenu s’est emparé du téléphone portable de F.________, préférant la version constante, claire et convaincante du prénommé à celle du prévenu. Il résulte également du dossier que F.________ a peur du prévenu. Il est donc évident qu’il n’aurait pas déposé plainte contre le prévenu très rapidement après les faits sans de réels motifs. Quant à la valeur de l’objet subtilisé, F.________ a indiqué dans sa plainte pénale que l’iPhone avait une valeur de 647 fr. (P. 10). En outre, il est notoire que les iPhones ont une valeur supérieure à 300 fr., et ce même une année après leur première mise sur le marché. De plus, lors de sa première audition par la police, le prévenu a expliqué que le lésé lui avait donné son iPhone 4 en guise de dédommagement pour l’opération de son nez (PV aud. 3), laquelle ne pouvait manifestement pas correspondre, dans l’esprit du prévenu, à un dommage de moindre importance. Le prévenu a confirmé ces déclarations le lendemain au Procureur (PV aud. 2). Le lésé a par ailleurs relevé, lors de sa confrontation avec le prévenu, que celui-ci lui avait présenté un devis de 17'000 fr. pour le nez cassé (PV aud. 9). Au regard de tous ces éléments, il ne fait aucun doute que le prévenu, lors du vol, ne visait pas qu’un dommage de peu d’importance, de sorte qu’il doit être condamné pour vol en application de l’art. 139 CP. L’appel doit par conséquent être admis sur ce point et le jugement entrepris modifié dans ce sens.</w:t>
      </w:r>
    </w:p>
    <w:p>
      <w:r>
        <w:rPr>
          <w:b/>
        </w:rPr>
        <w:t>E. 4</w:t>
      </w:r>
    </w:p>
    <w:p>
      <w:r>
        <w:t>Le Ministère public et O.________ reprochent aux premiers juges une appréciation erronée des faits. Ils considèrent qu’A.________ doit être con­dam­­né pour extorsion qualifiée au sens de l’art. 156 ch. 1 et 3 CP, dès lors qu’il a usé de violences physique et verbale à l’encontre du plaignant  pour que celui-ci lui verse une partie de l’argent gagné aux jeux, que les propos constants du plaignant sont crédibles, que le prévenu avait des dettes et des moyens financiers limités, qu’il n’était ainsi pas en mesure de prêter une somme de 7'000 fr., que le plaignant avait gagné une somme importante au poker et qu’il disposait de plus de 100'000 fr. sur son compte. O.________ fait également grief aux premiers juges de ne pas avoir condamné A.________ pour contrainte au sens de l’art. 181 CP et requiert la restitution du montant de 5'000 francs. Il fait encore valoir qu’il a accepté, par peur, de rencontrer le prévenu au parc et de lui remettre l’argent et que la thèse du préve­nu selon laquelle il aurait attendu quelques mois avant de se faire rembourser le prêt est impensable compte tenu de sa situation financière étriquée.</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4.2.1</w:t>
      </w:r>
    </w:p>
    <w:p>
      <w:r>
        <w:t>Se rend coupable d'extorsion, au sens de l’art. 156 al. 1 CP,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Sur le plan subjectif, l'art. 156 CP suppose l'intention et un dessein d'enrichissement illégitime. L'extorsion suppose que l'auteur soit dans l'incapacité de se passer du concours de sa victime pour réaliser son dessein. On cite volontiers l'exemple de l'auteur qui doit obtenir de sa victime qu'elle lui donne son code de carte bancaire ou qu'elle lui signe un chèque (Corboz, Les infractions en droit suisse, vol. I, 3 e éd., Berne 2010, n. 22 ad art. 140 CP et n. 30 ad art. 156 CP, ainsi que les références citées ; Dupuis/Geller/Monnier/Moreillon/Piguet/Bettex/Stoll, Petit commentaire du Code pénal suisse, Bâle 2012, n. 41 ad art. 156 CP). L’art. 156 al. 3 CP précise que si l'auteur a exercé des violences sur une personne ou s'il l'a menacée d'un danger imminent pour la vie ou l'intégrité corporelle, la peine sera celle prévue à l'art. 140. Cet alinéa vise l’hypothèse où l’auteur emploie les mêmes moyens de contrainte que s’il s’agissait d’un brigandage. La violence requise par cette disposition ne s’exerce pas contre une chose, mais contre une personne ; il s’agit de toute force physique immédiate exercée sur le corps d’une personne. Quant à la menace, elle doit porter sur un danger imminent pour la vie et l’intégrité corporelle, une menace visant un autre bien juridique protégé ne suffisant pas. La menace doit être sérieuse, en ce sens qu’elle doit être propre à contraindre une personne raisonnable placée dans les mêmes circonstances ; la sensibilité de la victime d’espèce est sans importance (Corboz, op. cit., n. ad art. 156 CP et les références citées).</w:t>
      </w:r>
    </w:p>
    <w:p>
      <w:r>
        <w:rPr>
          <w:b/>
        </w:rPr>
        <w:t>E. 4.2.2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la;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w:t>
      </w:r>
    </w:p>
    <w:p>
      <w:r>
        <w:rPr>
          <w:b/>
        </w:rPr>
        <w:t>E. 4.3</w:t>
      </w:r>
    </w:p>
    <w:p>
      <w:r>
        <w:t>En l’espèce, les premiers juges ont tenu pour établi, en se fondant sur les aveux du prévenu retenus au bénéfice du doute, qu’A.________  avait secoué O.________ par ses vêtements pour obtenir les 5'000 fr. réclamés et qu’il n’était finalement pas exclu que cet argent ait pu être une dette du plaignant envers le prévenu. Ils ont souligné que l’existence de menaces de mort ou d’un dommage sérieux et de coups n’était pas établie et que le fait de secouer quelqu’un pour ensuite le laisser partir librement ne pouvait constituer une violence telle que la victime eut vu sa résistance brisée. Les premiers juges ont ainsi, au bénéfice du doute, libéré le prévenu de l’infraction d’extorsion qualifiée, voire de contrainte, qui lui était reprochée. Ils ont en outre observé que le prévenu et le plaignant avaient deux versions totalement opposées sur les circons­tances et les causes de la remise du montant de 5'000 fr. au prévenu par le plai­gnant, que les relations entre ces deux parties paraissaient des plus fumeuses et que ni l’un ni l’autre n’avaient paru très crédi­bles. Avec les premiers juges, il faut constater que les affirmations du préve­nu et du plaignant, qui sont tous deux joueurs de poker, ne sont ni cohérentes ni crédibles. En effet, si le plaignant a toujours soutenu qu’A.________ l’avait agres­sé pour tenter d’obtenir la somme de 15'000 fr. en lui assénant trois coups de poing au visage à titre d’intimidation et que le prévenu lui avait dit que lui ou l’une de ses connaissances le « planterait » si cet argent ne lui était pas remis, le prévenu a contesté cette version des faits, soutenant qu’il voulait récupérer du plaignant la dette de jeu de 7'000 fr. que celui-ci avait envers lui, qu’ils ont discuté, que le ton est monté et qu’il a empoigné O.________ par ses vêtements. O.________, qui a dans un premier temps déclaré ne connaître le prévenu que de vue pour l’avoir aperçu dans une discothèque et a dit avoir accepté le rendez-vous du 3 janvier 2013 « par peur », a concédé par la suite qu’il avait joué au poker à une seule reprise avec A.________, mais il a toujours contesté lui avoir emprunté de l’argent. Le prévenu a pour sa part expliqué qu’il avait joué au poker à plus de dix reprises avec le plai­gnant lors de parties privées. Quant au prêt qu’A.________ aurait consenti à O.________, les déclarations faites par le prévenu au début de l’enquête (PV aud. 3) et celles faites aux débats (PV jugement p. 9) sont contradictoires. Il est en outre constant que lors de la rencontre entre le prévenu et le plaignant au parc [...],O.________ a appelé tant Q.________ que J.________, joueurs de poker connus des deux protagonistes (PV aud. 5, 6, 7, 8 et 11). Entendu aux débats, D.________ a confirmé que les joueurs de poker s’empruntaient de l’argent ou des jetons les uns les autres et que le plaignant et le prévenu, qui se connaissaient, avaient joué ensemble au moins dix parties. Quant au témoin X.________, il a indiqué qu’il avait vu quelques fois le plaignant et le prévenu à la même table de jeu, sans pouvoir préciser s’ils se connaissaient et combien de fois ils avaient joué ensemble. Ces témoignages, qui ne donnent aucun éclairage sur le déroulement des faits litigieux, démontrent que le plaignant connais­sait bien mieux le prévenu que ce qu’il a prétendu durant toute l’enquête, et que le prévenu et le plaignant s’étaient prêtés de l’argent lors de parties de poker, ce que O.________ a toujours nié. Au vu de toutes ces divergences, la cour de céans consta­te que les relations du prévenu et du plaignant semblent très nébuleuses et que leurs rôles, ainsi que ceux de Q.________ et J.________, restent troubles. On ne saurait enfin ignorer que le prévenu avait proposé au plaignant un rendez-vous dans un café, en présence de tiers et que le plaignant a lui-même proposé une rencontre dans un parc, que le plaignant s’est rendu seul au rendez-vous, que le plaignant aurait pu se rendre à la police avant d’aller chercher son argent au bancomat, que la mauvaise situation financière d’A.________ ne lui permettait à l’évidence pas de prêter la somme de 7'000 fr. à quiconque et que O.________, qui avait gagné 190'000 fr. en été 2012 en jouant au poker en ligne sur internet, avait encore 100'000 francs sur son compte au début du mois de janvier 2013. En outre, les coups de poing que dit avoir reçus O.________ n’ont laissé aucune trace, ce malgré la stature impressionnante du prévenu qui mesure 180 cm pour 110 kg. En définitive, l’instruction n’a pas permis d’établir avec certitude pour quelles raisons et dans quelles circonstances A.________ a exigé que O.________ lui verse la somme de 5'000 francs. Dans la mesure où il subsiste des doutes quant au déroulement réel des faits, la cour de céans ne saurait retenir qu’A.________ a usé de violence ou de menaces envers O.________ pour que celui-ci lui verse le montant 5'000 fr., ce d’autant que O.________ s’est rendu seul et librement au bancomat pour y retirer cette somme d’argent. En conséquence, la cour de céans considère que les éléments constitutifs des infrac­tions réprimées par les art. 156 et 181 CP ne sont pas réalisés. C’est donc à juste titre que les premiers juges ont libéré le prévenu, au bénéfice du doute, du chef d’accusation d’extorsion et de chantage qualifiés. L’appel doit par conséquent être rejeté sur ce point. Au vu de ce qui précède, le comportement du prévenu n’étant pas constitutif d’extorsion et de chantage qualifiés, les conclusions civiles du plaignant tendant au versement de la somme de 5'000 fr. doivent être rejetées. L’instruction n’ayant pas permis d’établir qui devait de l’argent, la somme d’argent due et la personne à qui cet argent devait être remboursé, le plaignant est renvoyé à agir contre le plaignant devant le juge civil pour faire valoir ses prétentions.</w:t>
      </w:r>
    </w:p>
    <w:p>
      <w:r>
        <w:rPr>
          <w:b/>
        </w:rPr>
        <w:t>E. 5</w:t>
      </w:r>
    </w:p>
    <w:p>
      <w:r>
        <w:t>Le Ministère public estime que A.________ doit être reconnu coupable de menaces pour les propos qu’il a adressés au caporal C.________.</w:t>
      </w:r>
    </w:p>
    <w:p>
      <w:r>
        <w:rPr>
          <w:b/>
        </w:rPr>
        <w:t>E. 5.1</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w:t>
      </w:r>
    </w:p>
    <w:p>
      <w:r>
        <w:rPr>
          <w:b/>
        </w:rPr>
        <w:t>E. 5.2</w:t>
      </w:r>
    </w:p>
    <w:p>
      <w:r>
        <w:t>En l’espèce, selon les déclarations du caporal C.________, dont la crédibilité n’est absolument pas douteuse, A.________ lui a dit la phrase suivante : « un jour ou l’autre quelqu’un va payer…ce sera pas moi ». Ces propos constituent à l’évidence des menaces au sens de l’art. 180 CP. Le lésé, qui a pris cette remarque comme une menace, a pensé que le prévenu voulait s’en prendre à son intégrité physique, celui-ci ayant pointé son doigt sur lui. Par ailleurs, compte tenu de la manière dont le prévenu a l’habitude de régler ses différends et de sa rancœur à l’encontre des autorités, on ne saurait déduire de ses propos qu’il pensait se conten­ter de vouloir dire au plaignant C.________ qu’il allait payer ses agissements devant un tribunal. Il convient de retenir au contraire que le prévenu a voulu effrayer le plaignant en exprimant sa volonté de faire payer physiquement le plaignant qui lui avait déjà mis une dizaine d’amendes (PV aud. 2 dossier joint). Partant, l’infraction de menaces est réalisée. L’appel doit par conséquent être admis sur ce point et le prévenu condamné pour ce chef d’accusation. 6. Le Ministère public requiert le prononcé d’une peine privative de liberté d’une durée de 32 mois ferme, soutenant que les conditions d’octroi du sursis, même partiel, ne sont pas réalisées.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6.1.2 Le juge suspend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un pronostic quant au comporte­ment futur de l’auteur. Il suffit qu’il n’y ait pas de pronostic défavorable. Le sursis est la règle dont on ne peut s’écarter qu’en présence d’un pronostic défavorable ou hautement incertain (TF 6B_88/2011 consid. 2.1 ;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L’art. 43 al. 1 CP prévoit que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(art. 42 CP), à savoir les perspectives d’amendement, valent également pour le sursis prévu à l’art. 43 CP.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réf. citées ; CAPE 7 mars 2014/20 consid. 4.1 et réf.). Un pronostic défavorable exclut le sursis partiel (ATF 134 IV 1 consid. 5.3.1, p. 10). 6.2 En l’espèce, le prévenu s‘est rendu coupable de vol, de menaces, d’infraction à la LEtr, d’infraction à la LArm et de violation simple des règles de la circulation. Sa culpabilité est importante. A l’instar des premiers juges, il convient de tenir compte du fait que le prévenu tente de se faire passer pour une victime, qu’il nie les faits, qu’il traite les lésés de menteurs et qu’il présente à chaque fois sa propre version des faits, éloignée de toute réalité. Il convient également de prendre en considération ses antécédents, le prévenu ayant d’ailleurs récidivé en cours d’enquête. Ses précédentes condamnations n’ont eu aucun effet sur lui. A décharge, la cour de céans relève que le prévenu a changé de vie et de fréquentation, et qu’il a quitté la Suisse avec son amie qui a donné naissance à un enfant le 15 mai 2015. Au vu des éléments à charge et à décharge et de la culpabilité du prévenu, une peine privative de liberté de douze mois est adéquate pour sanctionner les infractions commises par le prévenu. Quant à la question de l’octroi du sursis, la cour de céans considère qu’il est suffisamment tenu compte du pronostic mitigé du prévenu dans le choix du genre et de la quotité de la peine et que, dans la mesure où le prévenu a changé de vie et qu’il semble faire face à ses responsabilités familiales, le pronostic ne peut être tenu pour défavorable, de sorte qu’une peine ferme ne paraît pas nécessaire pour le détourner d'autres crimes ou délits. Il s’ensuit qu’un sursis complet doit être accordé, la durée maximum de cinq ans du délai d’épreuve étant confirmée. Mal fondé, ce moyen doit être rejeté. 7. Le Ministère public conclut à ce que l’entier des frais de première instance soit mis à la charge du prévenu. 7.1 Selon l'art. 426 al. 1 CPP, le prévenu supporte les frais de procédure s’il est condamné. 7.2 En l’espèce, le prévenu étant libéré, au bénéfice du doute, de trois cas sur les cinq figurant dans les actes d’accusation des 22 janvier 2014 et 5 août 2014, les premiers juges ont mis 2/5 ème des frais, y compris l’indemnité allouée à son défenseur d’office, à la charge du prévenu, le solde étant laissé à la charge de l’Etat. Au stade de l’appel, le prévenu est également condamné pour vol et pour menaces par la cour de céans, mais il demeure libéré du chef d’accusation d’extorsion et chantage qualifiés. II n’y a dès lors pas lieu de revoir la répartition des frais de première instance opérée par les premiers juges, laquelle échappe à toute critique et doit être confirmée. 8. L’appelant par voie de jonction, assisté d’un conseil de choix, réclame l’octroi d’une juste indemnité fondée sur l’art. 433 CPP. L’appel joint du plaignant O.________ étant rejeté, les conditions posées par l’art. 433 CPP ne sont pas réalisées, de sorte qu’il n’y a pas matière à indemnisation. Cette conclusion doit ainsi être rejetée. 9. En définitive, l’appel du Ministère public doit être partiellement admis et l’appel joint de O.________ rejeté, le jugement entrepris étant réformé aux chiffres I et II de son dispositif dans le sens des considérants. Le défenseur d’office du prévenu n’a pas déposé la liste de ses opéra­tions. Une indemnité de défenseur d’office pour la procédure d’appel d’un montant de 2'980 fr. 80 correspondant à 14 heures d’activité à 180 fr. et à deux vacations à 120 fr., plus la TVA, par 220 fr. 80, doit être allouée au défenseur d’office d’A.________. Le prévenu ne sera tenu de rembourser à l’Etat la part mise à sa charge du montant de l’indemnité en faveur de son défenseur d’office que lorsque sa situation financière le permettra. Vu l’issue de la cause, les frais de la procédure d’appel, par 6'170 fr. 80, constitués de l’émolument du présent jugement, par 3’190 fr. (art. 21 al. 1 et 2 TFIP [Tarif des frais de procédure et indemnités en matière pénale du 28 septembre 2010; RSV 312.03.1]), et de l’indemnité de défenseur d’office allouée à Me José Carlos Coret, par 2'980 fr. 80, doivent être mis à raison d’un cinquième, soit 1'234 fr. 15, à la charge d’A.________ et à raison d’un tiers, soit 2'056 fr. 95, à la charge de O.________, le solde étant laissé à la charge de l’Etat.</w:t>
      </w:r>
    </w:p>
    <w:p>
      <w:r>
        <w:rPr>
          <w:b/>
        </w:rPr>
        <w:t>E. 10</w:t>
      </w:r>
    </w:p>
    <w:p>
      <w:r>
        <w:t>septembre 2012 consid. 1.1). L’exigence d’une menace grave doit conduire à exclure la punissabilité lorsque le préjudice évoqué apparaît objectivement d’une importance trop limitée pour justifier la répression pénale (Corboz, op. cit., n. 9 ad art. 180 CP). En second lieu, il faut que la victime ait été effectivement alarmée ou effrayée. Subjectivement, l’auteur doit avoir l’intention non seulement de proférer des menaces graves, mais aussi d’alarmer ou d’effrayer le destinataire. Le dol éventuel suffit (TF 6B_598/2011 du 27 juillet 2012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