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111 vom 22. September 2015</w:t>
      </w:r>
    </w:p>
    <w:p>
      <w:r>
        <w:t>VD Tribunal cantonal, 2015-09-22, FR</w:t>
      </w:r>
    </w:p>
    <w:p>
      <w:r>
        <w:rPr>
          <w:b/>
        </w:rPr>
        <w:t xml:space="preserve">Quelle: </w:t>
      </w:r>
      <w:r>
        <w:t>https://mcp.opencaselaw.ch/entscheid/vd_findinfo_Jug___2016___111</w:t>
      </w:r>
    </w:p>
    <w:p>
      <w:r>
        <w:t>FR: VD_FINDINFO Jug / 2016 / 111 du 22 septembre 2015</w:t>
      </w:r>
    </w:p>
    <w:p>
      <w:r>
        <w:t>IT: VD_FINDINFO Jug / 2016 / 111 del 22 settembre 2015</w:t>
      </w:r>
    </w:p>
    <w:p>
      <w:pPr>
        <w:pStyle w:val="Heading2"/>
      </w:pPr>
      <w:r>
        <w:t>Regeste</w:t>
      </w:r>
    </w:p>
    <w:p>
      <w:r>
        <w:t>TENTATIVE{DROIT PÉNAL}, CONTRAINTE{DROIT PÉNAL}, PEINE PÉCUNIAIRE, CONCOURS D'INFRACTIONS, PEINE, PEINE COMPLÉMENTAIRE | 22 ad 181 CP, 22 CP, 34 CP, 42 CP, 44 CP, 47 CP, 49 CP, 50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Dans son appel, le Ministère public soutient que la peine infligée en première instance est trop clémente et demande qu'elle soit aggravée.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CREP 10 août 2015/249 consid. 5.3.1). La faute de A.H.________ n'est pas négligeable. Les infractions sont en concours et la prévenue n'a toujours pas pris conscience de ses fautes, tant elle est encore désespérée par la faillite de sa société et incapable d'en examiner les causes de manière objective. A charge, les poursuites infondées ont des effets durables sur la vie et sur l'activité professionnelle des victimes, toutes deux indépendantes. Elles portaient sur plusieurs milliers de francs et sont restées inscrites pendant quelque trois ans à l'Office des poursuites (jugement pp. 7 et 12). A décharge, la prévenue a accepté de retirer les poursuites incriminées. Au vu de ces éléments, une peine pécuniaire de trente jours-amende est adéquate pour sanctionner le comportement fautif de A.H.________, celle-ci étant entièrement complémentaire à celle de 50 jours-amende prononcée en mars 2014.</w:t>
      </w:r>
    </w:p>
    <w:p>
      <w:r>
        <w:rPr>
          <w:b/>
        </w:rPr>
        <w:t>E. 3.2</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2ème phr., CP). Afin de conserver une juste proportion entre les différents types de sanctions, les exigences permettant de considérer qu'une peine pécuniaire n'est pas symbolique ne doivent pas être excessivement sévères. Tel n'est plus le cas lorsque le montant du jour-amende atteint la somme de 10 fr., en ce qui concerne les auteurs les plus démunis (TF 6b/769/2008 du 18 juin 2009 consid.1.1 et 1.4 précisant l'arrêt publié aux ATF 134 IV 60 qui expose les principes régissant la fixation de la peine pécuniaire, et du jour-amende). Le Ministère public considère que la valeur du jour-amende devrait être portée à 30 fr. pour que la peine ait un réel effet dissuasif. Cependant, vu le dénuement dans lequel se trouve la prévenue, qui émarge au RI depuis le mois de septembre 2013, la valeur du jour-amende doit être arrêtée à 10 fr. le jour.</w:t>
      </w:r>
    </w:p>
    <w:p>
      <w:r>
        <w:rPr>
          <w:b/>
        </w:rPr>
        <w:t>E. 4</w:t>
      </w:r>
    </w:p>
    <w:p>
      <w:r>
        <w:t>Le Ministère public demande encore le prononcé d'une amende à titre de sanction immédiate.</w:t>
      </w:r>
    </w:p>
    <w:p>
      <w:r>
        <w:rPr>
          <w:b/>
        </w:rPr>
        <w:t>E. 4.1</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(TF 6B_800/2008 du 4 décembre 2008, consid. 2.1 et les références citées).</w:t>
      </w:r>
    </w:p>
    <w:p>
      <w:r>
        <w:rPr>
          <w:b/>
        </w:rPr>
        <w:t>E. 4.2</w:t>
      </w:r>
    </w:p>
    <w:p>
      <w:r>
        <w:t>Au regard de la faute commise, de la peine pécuniaire globale (80 jours-amende) et des conséquences de la présente procédure pénale pour cette prévenue dont la situation financière est obérée et qui devra payer quelque 7'943 fr. de dépens pénaux, on renoncera à prononcer une amende à titre de sanction immédiate.</w:t>
      </w:r>
    </w:p>
    <w:p>
      <w:r>
        <w:rPr>
          <w:b/>
        </w:rPr>
        <w:t>E. 5</w:t>
      </w:r>
    </w:p>
    <w:p>
      <w:r>
        <w:t>En définitive, l’appel doit être rejeté et le jugement confirmé. Vu le sort de l'appel, les frais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