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97 vom 10. September 2014</w:t>
      </w:r>
    </w:p>
    <w:p>
      <w:r>
        <w:t>VD Tribunal cantonal, 2014-09-10, FR</w:t>
      </w:r>
    </w:p>
    <w:p>
      <w:r>
        <w:rPr>
          <w:b/>
        </w:rPr>
        <w:t xml:space="preserve">Quelle: </w:t>
      </w:r>
      <w:r>
        <w:t>https://mcp.opencaselaw.ch/entscheid/vd_findinfo_Jug___2015___97</w:t>
      </w:r>
    </w:p>
    <w:p>
      <w:r>
        <w:t>FR: VD_FINDINFO Jug / 2015 / 97 du 10 septembre 2014</w:t>
      </w:r>
    </w:p>
    <w:p>
      <w:r>
        <w:t>IT: VD_FINDINFO Jug / 2015 / 97 del 10 settembre 2014</w:t>
      </w:r>
    </w:p>
    <w:p>
      <w:pPr>
        <w:pStyle w:val="Heading2"/>
      </w:pPr>
      <w:r>
        <w:t>Regeste</w:t>
      </w:r>
    </w:p>
    <w:p>
      <w:r>
        <w:t>RÉVOCATION DU SURSIS, PEINE, RÉCIDIVE{INFRACTION}, RISQUE DE RÉCIDIVE | 41 CP, 46 al. 1 CP, 46 CP, 49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E.________ conteste la peine infligée. Il conclut principalement à une peine d'ensemble assortie d'un sursis de 5 ans assujetti à une règle de conduite fixée à dire de justice. L'autorité de céans limitera son examen à cette question (art. 404 al. 1 CP), étant précisé que la conclusion subsidiaire tendant à "la réforme du jugement à dires de justice" est irrecevable, faute de précision suffisante (art. 399 al. 3 let, b CPP), et que celle plus subsidiaire tendant à l'annulation du jugement entrepris est sans objet, vu l'absence de motif d'annulation.</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L'art. 41 al. 1 CP prévoit ainsi deux conditions cumulatives. Il faut d'abord que les conditions du sursis à l'exécution de la peine ne soient pas réunies. La seconde condition reflète la subsidiarité de la peine privative de liberté. Le juge ne peut prononcer une peine privative de liberté de moins de six mois que s'il y a lieu d'admettre que ni une peine pécuniaire ni un travail d'intérêt général ne peuvent être exécutés (art. 41 al. 1 CP). 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(c. 3.1 in fine et les réf. citées). Une peine pécuniaire peut être exclue pour des motifs de prévention spéciale (TF 6B_128/2011 du 14 juin 2011, c. 3.4) ou parce qu'elle prive le prévenu du nécessaire, voire de l'indispensable (ATF 134 IV 97 c. 5.2.3).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l c. 4. 2.2 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 1 p. 5). En cas de condamnation, dans les cinq ans qui précèdent l'infraction, à une peine privative de liberté ferme ou avec sursis de six mois au moins ou à une peine pécuniaire de 180 jours-amende au moins, le sursis n'est possible qu'en présence de "circonstances particulièrement favorables" (art. 42 al. 2 CP). La présomption d'un pronostic favorable, respectivement du défaut d'un pronostic défavorable, ne s'applique plus. L'octroi du sursis n'entrera donc en considération que si, malgré l'infraction commise, on peut raisonnablement supposer, à l'issue de l'appréciation de l'ensemble des facteurs déterminants, que le condamné s'amendera (ATF 134 IV 1 c. 4.2.3 p. 7).</w:t>
      </w:r>
    </w:p>
    <w:p>
      <w:r>
        <w:rPr>
          <w:b/>
        </w:rPr>
        <w:t>E. 3.2</w:t>
      </w:r>
    </w:p>
    <w:p>
      <w:r>
        <w:t>La culpabilité du prévenu est lourde. A charge, on tiendra compte de la circonstance aggravante du concours et du fait que l'intéressé est un multirécidiviste en matière de violation de la loi sur la circulation routière. A charge encore, on relève qu'E.________ a récidivé pendant la période de sursis, accordé le 31 mars 2011 et prolongé le 7 septembre 2012, de même que durant l'enquête, et qu'il ne s'est pas amendé malgré les détentions provisoires subies (deux fois 8 jours en 2010), les peines prononcées (dont trois peines de prison entre 2004 et 2012), les révocations de sursis (30 avril 2007) et l'avertissement prononcé par le Ministère public de l'arrondissement de Lausanne le 7 septembre 2012. A cela s'ajoute que le prévenu a fait l'objet de nombreuses mesures administratives, soit au moins 6 retraits de permis dont un retrait de sécurité pour une durée minimale de 5 ans, qui sont demeurées sans effet. A la décharge dE.________, on tiendra compte, outre des regrets exprimés par le prévenu, de sa situation familiale et sociale. On relève cependant que l'intéressé n'a pas obtenu le poste à plein temps auquel il était intéressé et que la stabilité de sa situation familiale ne lui a jamais permis de s'amender durablement.</w:t>
      </w:r>
    </w:p>
    <w:p>
      <w:r>
        <w:rPr>
          <w:b/>
        </w:rPr>
        <w:t>E. 3.3</w:t>
      </w:r>
    </w:p>
    <w:p>
      <w:r>
        <w:t>Vu ce qui précède, une peine privative de liberté s'impose pour des raisons de prévention spéciale (cf. supra c. 3.1). S'agissant du sursis, il s'examine à l'aune de l'art. 42 al. 2 CP, les infractions à juger ayant été commises entre le 4 octobre 2012 et le 24 avril 2013, soit dans les 5 ans suivant la condamnation, en mars 2011, à une peine privative de liberté de 15 mois avec un sursis de trois ans prolongé d'une année et demie en 2012. L'octroi du sursis dépend donc de circonstances particulièrement favorables : il faut qu'à l'issue de l'appréciation de l'ensemble des facteurs déterminants, on puisse raisonnablement supposer, en dépit des infractions commises, que le condamné s'amendera. Or, tel n'est manifestement pas le cas en l'espèce, au vu des éléments exposés au considérant 3. 2 ci-dessus. Dès lors, il convient de confirmer la courte peine privative de liberté de cinq mois infligée en première instance, les conditions cumulatives de l'art. 41 al. 1 CP étant réunies.</w:t>
      </w:r>
    </w:p>
    <w:p>
      <w:r>
        <w:rPr>
          <w:b/>
        </w:rPr>
        <w:t>E. 4</w:t>
      </w:r>
    </w:p>
    <w:p>
      <w:r>
        <w:t>La nouvelle partie générale du code pénal prévoit qu'une peine d'ensemble peut aussi être prononcée à l'aune de l'art. 46 al. 1 2 ème phrase CP (et non plus seulement en application de l'art. 49 CP). Le prononcé d'une telle peine ne peut toutefois intervenir qu'en dernier recours (Dupuis et al., Petit Commentaire, Code pénal, Bâle 2012, n. 13 ad. art. 46 CP et les références citées) et aux conditions fixées par la jurisprudence. A cet égard, le Tribunal fédéral a précisé que l'art. 46 CP concerne celui qui encourt une nouvelle peine pendant le délai d'épreuve assortissant une peine suspendue. Le prononcé d'une peine d'ensemble est exclu d'emblée, lorsque la peine dont le sursis est révoqué et la nouvelle peine sont du même genre (ATF 138 IV 113; TF 6B_180 2011 du 5 avril 2012 = JT 2013 IV 63, spécialement p. 68). Cette situation est réalisée en l'espèce (cf. supra c. 3. 3 et infra c. 4. 1).</w:t>
      </w:r>
    </w:p>
    <w:p>
      <w:r>
        <w:rPr>
          <w:b/>
        </w:rPr>
        <w:t>E. 4.1</w:t>
      </w:r>
    </w:p>
    <w:p>
      <w:r>
        <w:t>Selon l'art. 46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(TF 6B_1165/2013 du 1 er mai 2014 c. 2.1 et les références citées).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 (TF 6B_1165/2013 du 1 er mai 2014 c. 2.2 et les références citées).</w:t>
      </w:r>
    </w:p>
    <w:p>
      <w:r>
        <w:rPr>
          <w:b/>
        </w:rPr>
        <w:t>E. 4.2</w:t>
      </w:r>
    </w:p>
    <w:p>
      <w:r>
        <w:t>Dans le cas présent, les faits de la cause démontrent qu'E.________ n'est pas capable de s'amender durablement et qu'il a trompé à maintes reprises la confiance mise en lui par la justice (cf. supra c. 3.2). Ses nombreux antécédents montrent que sa situation familiale n'a pas eu le moindre effet rédempteur sur sa propension à enfreindre la loi pénale, plus particulièrement en matière de circulation routière. Il en va de même de sa situation professionnelle, l'appelant persistant à exercer des petits métiers. Quant à l'abstinence à l'alcool, il ne s'agit pas véritablement de progrès spontanés induits par une prise de conscience, mais d'obligations comportementales imposées par l'autorité et soumises à un contrôle serré. Enfin, l'apparente et récente pause dans la commission des infractions depuis avril 2013 n'est pas non plus décisive, la chronologie des condamnations connaissant des répits entre 2007 et 2012. Au vu de ces éléments, l'exécution de la courte peine privative de liberté présentement infligée ne suffira pas à détourner E.________ de la récidive. Il convient, cela étant, de révoquer le sursis octroyé au prévenu le 31 mars 2011 par le Tribunal correctionnel de Lausanne, comme le prévoit le jugement entrepris qui doit être confirmé sur ce point également.</w:t>
      </w:r>
    </w:p>
    <w:p>
      <w:r>
        <w:rPr>
          <w:b/>
        </w:rPr>
        <w:t>E. 5</w:t>
      </w:r>
    </w:p>
    <w:p>
      <w:r>
        <w:t>En définitive, l'appel d'E.________ doit être rejeté.</w:t>
      </w:r>
    </w:p>
    <w:p>
      <w:r>
        <w:rPr>
          <w:b/>
        </w:rPr>
        <w:t>E. 6</w:t>
      </w:r>
    </w:p>
    <w:p>
      <w:r>
        <w:t>Me Habib Tabet, défenseur d'office de E.________, a produit une liste d'opérations faisant état d'un montant de 1'851 fr. 15. Compte tenu de l'ampleur de la procédure et de l'expérience du dossier déjà acquise en première instance, il se justice d'accorder à ce mandataire une l'indemnité d'office de 1'933 fr. 20 correspondant à 9 heures à 180 fr., 170 fr. de débours et 8 % de TVA, audience incluse. E.________ ne sera tenu de rembourser à l'Etat l'indemnité d'office accordée à son mandataire que lorsque sa situation financière le permettra. Vu le sort de l'appel, les frais de seconde instance, constitués de l'émolument d'arrêt, par 3'653 fr. 20, y compris l'indemnité due au défenseur d'office, par 1'933 fr. 20, sont mis à la charge dE.________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