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93 vom 22. Oktober 2014</w:t>
      </w:r>
    </w:p>
    <w:p>
      <w:r>
        <w:t>VD Tribunal cantonal, 2014-10-22, FR</w:t>
      </w:r>
    </w:p>
    <w:p>
      <w:r>
        <w:rPr>
          <w:b/>
        </w:rPr>
        <w:t xml:space="preserve">Quelle: </w:t>
      </w:r>
      <w:r>
        <w:t>https://mcp.opencaselaw.ch/entscheid/vd_findinfo_Jug___2015___93</w:t>
      </w:r>
    </w:p>
    <w:p>
      <w:r>
        <w:t>FR: VD_FINDINFO Jug / 2015 / 93 du 22 octobre 2014</w:t>
      </w:r>
    </w:p>
    <w:p>
      <w:r>
        <w:t>IT: VD_FINDINFO Jug / 2015 / 93 del 22 ottobre 2014</w:t>
      </w:r>
    </w:p>
    <w:p>
      <w:pPr>
        <w:pStyle w:val="Heading2"/>
      </w:pPr>
      <w:r>
        <w:t>Regeste</w:t>
      </w:r>
    </w:p>
    <w:p>
      <w:r>
        <w:t>IN DUBIO PRO REO, ACTE D'ACCUSATION, PRÉSOMPTION D'INNOCENCE, CONSTATATION DES FAITS, SURSIS PARTIEL À L'EXÉCUTION DE LA PEINE, SURSIS À L'EXÉCUTION DE LA PEINE, FIXATION DE LA PEINE | 42 CP, 43 CP, 47 al. 1 CP, 10 CPP (CH), 9 CPP (CH)</w:t>
      </w:r>
    </w:p>
    <w:p>
      <w:pPr>
        <w:pStyle w:val="Heading2"/>
      </w:pPr>
      <w:r>
        <w:t>Erwägungen</w:t>
      </w:r>
    </w:p>
    <w:p>
      <w:r>
        <w:rPr>
          <w:b/>
        </w:rPr>
        <w:t>E. 1</w:t>
      </w:r>
    </w:p>
    <w:p>
      <w:r>
        <w:t>Interjeté dans les forme et délais légaux par une partie ayant qualité pour recourir contre le jugement du tribunal de première instance qui a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Sans mettre en cause l’incrimination pénale, l’appelant conteste d’abord certains faits retenus par le tribunal correctionnel. Comme on le verra plus en détail ci-dessous, il se prévaut tant de l’art. 9 CPP que de la présomption d’innocence selon l’art. 10 CPP et d’une constatation inexacte des faits au sens de l’art. 398 CPP. 3.2.1 La constatation des faits est erronée au sens de l’art. 398 al. 3 CPP, précité,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3.2.2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op. cit.,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 2c; TF 6B_831/2009 du 25 mars 2010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cf. aussi, quant à la notion d’arbitraire, ATF 136 III 552 c. 4.2). 3.2.3 C’est en vain que l’appelant se prévaut de l’art. 10 CPP en faisant valoir que le tribunal correctionnel n’a pas retenu l’état de fait le plus favorable à la défense. En effet, après avoir relevé que le prévenu s’était livré à un trafic de cocaïne de 100 à 180 g à Payerne, entre avril et août 2012, les premiers juges ont expressément indiqué (jugement, p. 13) qu’il y avait lieu de retenir l’hypothèse la plus favorable à la défense en se fondant sur une quantité de drogue pure de 41 g sur la base du taux de pureté moyen de la cocaïne en 2012, soit 41 %. La quantité brute de 100 g ainsi prise en compte correspond au bas de la fourchette figurant dans l’acte d’accusation. Cette appréciation est ainsi conforme au principe in dubio pro reo. Pour le reste, les éléments recueillis durant l’enquête suffisent amplement à l’incrimination pénale. Les premiers juges ont donc retenu les faits incriminés sur la base de preuves suffisantes.</w:t>
      </w:r>
    </w:p>
    <w:p>
      <w:r>
        <w:rPr>
          <w:b/>
        </w:rPr>
        <w:t>E. 4.1</w:t>
      </w:r>
    </w:p>
    <w:p>
      <w:r>
        <w:t>L’appelant voit ensuite une violation de l’art. 9 CPP dans la mesure où, selon lui, « l’acte d’accusation expose dans un préambule la description de différentes enquêtes de police, sans rapport aucun avec les faits incriminés, qui doivent seuls fonder la responsabilité de l’appelant et sa faute, à l’exclusion de considérations sans rapport avec l’enquête » (déclaration d’appel, ch. 3, p. 4 in initio). 4.2.1 Selon l’art. 9 al. 1 CPP, une infraction ne peut faire l'objet d'un jugement que si le ministère public a déposé auprès du tribunal compétent un acte d'accusation dirigé contre une personne déterminée sur la base de faits précisément décrits. L’art. 325 al. 1 CPP énonce les mentions que doit impérativement comporter l’acte d’accusation. 4.2.2 L’acte d’accusation déposé par le Ministère public le 23 juin 2014 remplit les exigences légales. En effet, il indique l’identité du prévenu, les faits incriminés et les dispositions pénales paraissant applicables. Si l’acte d’accusation comporte en préambule un exposé général de l’activité délictueuse dans laquelle a été impliqué l’appelant, il n’en reste pas moins qu’il ne retient, finalement, que les ventes de cocaïne que l’enquête a mises en évidence. On ne voit pas en quoi ce procédé contreviendrait à l’art. 9 CPP. Certes, les premiers juges ont repris à leur compte ce préambule (jugement, p. 11). Mais cet élément n’est pas repris comme élément à charge au moment de fixer la peine (jugement, p. 13, c. 6). On ne peut donc pas soutenir, comme le fait l’appelant, que la peine a été fixée en fonction de faits qui n’étaient pas reprochés à l’appelant. Ce n’est d’ailleurs pas le préambule de l’acte d’accusation qui permet de dire que l’appelant tenait un rôle de grossiste dans la chaîne reliant le producteur de drogue au revendeur de rue. Cette position de grossiste est, au contraire, prouvée par les déclarations du témoin [...] (cf. jugement, p. 9, c. 4a) et par le fait que la police n’a recueilli que très peu de dépositions de toxicomanes impliquant directement l’appelant, la vente directe de drogue à [...] étant à cet égard l’exception (jugement, p. 10, c. 4b, et p. 13, c. 6). En définitive, on ne discerne aucune appréciation incomplète ou erronée des faits, ni violation de la présomption d’innocence, de sorte que l’appel doit être rejeté en tant qu’il porte sur l’établissement des faits et sur la fixation de la peine.</w:t>
      </w:r>
    </w:p>
    <w:p>
      <w:r>
        <w:rPr>
          <w:b/>
        </w:rPr>
        <w:t>E. 5.1</w:t>
      </w:r>
    </w:p>
    <w:p>
      <w:r>
        <w:t>Se prévalant de l’art. 47 CP, l’appelant fait ensuite valoir que la peine prononcée serait totalement disproportionnée au regard de sa faute.</w:t>
      </w:r>
    </w:p>
    <w:p>
      <w:r>
        <w:rPr>
          <w:b/>
        </w:rPr>
        <w:t>E. 5.2</w:t>
      </w:r>
    </w:p>
    <w:p>
      <w:r>
        <w:t>L'art. 47 al. 1 CP, applicable en matière d’infractions à la LStup par renvoi de l’art. 26 LStup, prévoit que la peine doit être fixée d'après la culpabilité de l'auteur, en tenant compte des antécédents et de la situation personnelle de ce dernier ainsi que de l'effet de la peine sur son avenir. L'al. 2 de cette disposition énumère, de manière non limitative, une série de critères à prendre en considération pour déterminer la culpabilité de l'auteur.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abuse de son pouvoir d'appréciation en fixant une peine exagérément sévère ou excessivement clémente (ATF 134 IV 17 c. 2.1 p. 19 s.). 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 Pellet et Stoudmann, Code pénal annoté, 3 e éd., Lausanne 2007, n. 1.29 ad art. 47 CP et les réf. cit.). La quantité de drogue est un élément d’appréciation important mais toutefois pas prépondérant (ATF 122 IV 299, c. 2c, JT 1998 IV 38; ATF 121 IV 193, c. 2d/cc, JT 1997 IV 108; ATF 118 IV 342, c. 2c, JT 1994 IV 67; CCASS, 5 décembre 2005, n° 418). Elle perd cependant de l'importance au fur et à mesure que l'on s'éloigne de la limite à partir de laquelle le cas doit être considéré comme grave au sens de l'art. 19 ch. 2 let. a LStup (TF 6B_380/2008 du 4 août 2008). Ainsi, lorsque le prévenu est un trafiquant qui n'est pas dépendant de la drogue, il s'agit de se baser en premier lieu non pas sur la quantité de drogue vendue, mais sur la position de l'individu dans le réseau de distribution (Dupuis/Geller/Monnier/Moreillon/Piguet/ Bettex/Stoll [éd.], Petit commentaire CP, Bâle 2012, n. 17 ad art. 47 CP, p. 298).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(TF 6S.21/2002 du 17 avril 2002, c. 2c et les réf. cit.).</w:t>
      </w:r>
    </w:p>
    <w:p>
      <w:r>
        <w:rPr>
          <w:b/>
        </w:rPr>
        <w:t>E. 5.3</w:t>
      </w:r>
    </w:p>
    <w:p>
      <w:r>
        <w:t>Dans le cas particulier, le cas est grave au sens de l’art. 19 ch. 2 let. a et b LStup. Le premier élément à charge est l’importance de la quantité de cocaïne éculée. L’appelant n’en disconvient du reste pas, puisqu’il qu’il admet lui-même que son trafic a porté « sur une quantité non négligeable de produits stupéfiants » (déclaration d’appel, ch. 7 in initio, p. 6). A cela s’ajoute que, n’étant pas toxicomane, l’auteur a agi par pur appât du gain, qui plus est sans discontinuer durant une période prolongée. En outre, il ne présente aucune prise de conscience quant à la gravité de ses actes, comme en témoignent ses dénégations, formulées à l’audience d’appel encore, portant sur des faits pourtant établis matériellement. Sa position dans le réseau était celle d’un grossiste. Sa culpabilité est ainsi supérieure à celle d’un simple revendeur de rue. L’appelant a choisi de vivre dans l’illégalité, dès lors que, ressortissant portugais, il était en droit de vivre et de travailler dans son pays et avait du reste exercé diverses activités lucratives licites dans le nôtre. Enfin, il a agi en récidive spéciale. On ne discerne aucun élément à décharge. Au vu de ces circonstances, la peine prononcée par le tribunal correctionnel procède d’une correcte application de l’art. 47 CP. Une peine privative de liberté de trente mois est adéquate. L’appel doit donc être rejeté sur ce point.</w:t>
      </w:r>
    </w:p>
    <w:p>
      <w:r>
        <w:rPr>
          <w:b/>
        </w:rPr>
        <w:t>E. 6.1</w:t>
      </w:r>
    </w:p>
    <w:p>
      <w:r>
        <w:t>L’appelant conclut enfin au sursis, principalement total, subsidiairement partiel.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43 CP, le juge peut suspendre partiellement l’exécution d’une peine pécuniaire, d’un travail d’intérêt général ou d’une peine privative de liberté d’un an au moins et de trois ans au plus afin de tenir compte de façon appropriée de la faute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w:t>
      </w:r>
    </w:p>
    <w:p>
      <w:r>
        <w:rPr>
          <w:b/>
        </w:rPr>
        <w:t>E. 6.2</w:t>
      </w:r>
    </w:p>
    <w:p>
      <w:r>
        <w:t>De jurisprudence constante, les conditions subjectives auxquelles l'art. 42 CP soumet l'octroi du sursis intégral s'appliquent également à l'octroi du sursis partiel prévu à l’art. 43 CP (ATF 134 IV 1 c. 5.3.1; cf. aussi TF 6B_353/2008 du 30 mai 2008 c. 2.3; TF 6B_664/2007 du 18 janvier 2008 c. 3.2.1).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 Pour statuer sur la suspension partielle de l’exécution d’une peine, le juge doit tenir compte de façon appropriée de la faute de l’auteur. Selon la jurisprudence du Tribunal fédéral, cette notion de faute correspond à la culpabilité telle que définie à l’art. 47 al. 2 CP (ATF 134 IV 1 précité c. 4.2.3).</w:t>
      </w:r>
    </w:p>
    <w:p>
      <w:r>
        <w:rPr>
          <w:b/>
        </w:rPr>
        <w:t>E. 6.3</w:t>
      </w:r>
    </w:p>
    <w:p>
      <w:r>
        <w:t>En l'espèce, la quotité de la peine privative de liberté exclut le sursis ordinaire de l’art. 42 al. 1 CP. Sous l’angle de l’art. 43 CP, la question déterminante est celle du pronostic à poser. Celui-ci ne peut qu’être tenu pour défavorable. En effet, l’appelant a déjà été condamné, pour infraction à la LStup, à une peine privative de liberté incisive, qui lui a valu deux jours de détention préventive. L’année suivante, une nouvelle peine privative de liberté a été prononcée à son encontre, cette fois pour entrée illégale en Suisse. Ces condamnations ne l’ont pas dissuadé de perpétrer de nouvelles infractions graves en matière de stupéfiants. Comme déjà relevé, il ressort de l’attitude du prévenu aux audiences de première instance et d’appel qu’il ne prend pas conscience de ses fautes. Il choisit délibérément l’illicéité plutôt que la licéité en vivant du seul produit de ses crimes, ce alors même qu’il avait auparavant exercé diverses activités lucratives licites. L’appelant n’est donc pas socialement inséré. Son avenir est précaire. Ces facteurs infirment les projets professionnels qu’il dit nourrir. Il s’ensuit que seule une peine ferme apparaît susceptible de le détourner d'autres crimes ou délits, de sorte que le sursis (partiel) est exclu. En définitive, l’appel doit être rejeté.</w:t>
      </w:r>
    </w:p>
    <w:p>
      <w:r>
        <w:rPr>
          <w:b/>
        </w:rPr>
        <w:t>E. 7</w:t>
      </w:r>
    </w:p>
    <w:p>
      <w:r>
        <w:t>La détention subie depuis le jugement de première instance sera déduite (art. 51 CP). Le maintien en détention de l’appelant pour des motifs de sûreté sera ordonné afin de garantir l’exécution du jugement, vu l’évident risque de fuite présenté par un étranger n’ayant pas d’attaches suffisantes avec la Suisse (art. 221 al. 1 let. a CPP).</w:t>
      </w:r>
    </w:p>
    <w:p>
      <w:r>
        <w:rPr>
          <w:b/>
        </w:rPr>
        <w:t>E. 8</w:t>
      </w:r>
    </w:p>
    <w:p>
      <w:r>
        <w:t>Les frais d'appel seront mis à la charge de l’appelant, qui succombe (art. 428 al. 1 CPP). Outre l'émolument (art. 21 al. 1 et 2 TFIP [Tarif des frais de procédure et indemnités en matière pénale du 28 septembre 2010; RSV 312.03.1]), ces frais comprennent l’indemnité allouée à son défenseur d'office (art. 422 al. 1 et 2 let. a CPP). L’indemnité du défenseur d’office sera fixée à 2'257 fr. 20, débours et TVA compris, compte tenu d’une durée d’activité totale de dix heures à 180 fr. l’heure, plus deux indemnités de déplacement à 120 fr. chacune et 50 fr. de débours, TVA en plus. Le prévenu ne sera tenu de rembourser l’indemnité ci-dessus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