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83 vom 3. März 2015</w:t>
      </w:r>
    </w:p>
    <w:p>
      <w:r>
        <w:t>VD Tribunal cantonal, 2015-03-03, FR</w:t>
      </w:r>
    </w:p>
    <w:p>
      <w:r>
        <w:rPr>
          <w:b/>
        </w:rPr>
        <w:t xml:space="preserve">Quelle: </w:t>
      </w:r>
      <w:r>
        <w:t>https://mcp.opencaselaw.ch/entscheid/vd_findinfo_Jug___2015___83</w:t>
      </w:r>
    </w:p>
    <w:p>
      <w:r>
        <w:t>FR: VD_FINDINFO Jug / 2015 / 83 du 3 mars 2015</w:t>
      </w:r>
    </w:p>
    <w:p>
      <w:r>
        <w:t>IT: VD_FINDINFO Jug / 2015 / 83 del 3 marzo 2015</w:t>
      </w:r>
    </w:p>
    <w:p>
      <w:pPr>
        <w:pStyle w:val="Heading2"/>
      </w:pPr>
      <w:r>
        <w:t>Regeste</w:t>
      </w:r>
    </w:p>
    <w:p>
      <w:r>
        <w:t>OFFRE PUBLIQUE D'ACHAT, ANNULATION{PAPIER-VALEUR} | 33 LBVM, 55 OBVM</w:t>
      </w:r>
    </w:p>
    <w:p>
      <w:pPr>
        <w:pStyle w:val="Heading2"/>
      </w:pPr>
      <w:r>
        <w:t>Erwägungen</w:t>
      </w:r>
    </w:p>
    <w:p>
      <w:r>
        <w:rPr>
          <w:b/>
        </w:rPr>
        <w:t>E. 13</w:t>
      </w:r>
    </w:p>
    <w:p>
      <w:r>
        <w:t>novembre 2010, RSV 270.11.6]). Dans les contestations portant sur des affaires patrimoniales, le défraiement de l'avocat est fixé, s'agissant d'une procédure ordinaire, dans les limites du tableau figurant à l'art. 4 TDC, en considération de l'importance de la cause, de ses difficultés, de l'ampleur du travail et du temps consacré. Le juge se fonde en général sur le tarif horaire moyen usuellement admis, augmenté de manière adéquate lorsque la valeur litigieuse est supérieure à 300'000 fr. (art. 3 al. 2 TDC). Lorsqu'il y a une disproportion évidente entre la valeur litigieuse et l'intérêt des parties au procès ou entre le taux applicable selon le tarif et le travail effectif de l'avocat, la juridiction peut fixer des dépens inférieurs au taux minimum (art. 20 al. 2 TDC). Les débours nécessaires, qui sont en principe estimés à 5 % du défraiement du mandataire professionnel et s'ajoutent à celui-ci, incluent notamment les frais de déplacement, de téléphone, de port et de copie (art. 19 TDC). En l'espèce, la valeur litigieuse est de 8'178'438 fr. (38'217 actions au prix de 214 fr. par action) (art. 91 al. 1 CPC). L'émolument forfaitaire de décision peut être réduit à 15'000 fr. en application des art. 22 al. 6 et 8 TFJC. La demanderesse obtenant gain de cause, elle a droit à de pleins dépens. La défenderesse lui versera à ce titre le montant de 15'750 fr., soit 15'000 fr. à titre de défraiement de son conseil et 750 fr. à titre de débours (art. 3 al. 2, 4, 19 al. 2 et 20 al. 2 TDC). Elle lui restituera en outre son avance de frais, par 15'000 francs. La défenderesse doit ainsi verser à la demanderesse la somme de 30'750 fr. à titre de dépens et de restitution d'avance de frais. V. Les décisions prises en instance cantonale unique selon les art. 5 ss CPC doivent, en vertu de l'art. 112 LTF, être communiquées par écrit. Une communication orale suivie d'une motivation écrite selon les art. 239 al. 1 et 2 CPC est exclue. La réserve du droit cantonal prévue à l'art. 112 al. 2 LTF ne s'applique pas non plus, le domaine de la procédure civile ne relevant plus du droit cantonal (Staehelin, in Sutter-Somm, Hasenböhler, Leuenberger (éd.), ZPO-Kommentar, n. 38 ad art. 239 CPC; Oberhammer, Basler Kommentar ZPO, n. 10 ad art. 239 CPC; Hofmann/Lüscher, Le Code de procédure civile, Berne 2009, p. 150; Gasser/Rickli, Schweizerische Zivilprozessordnung, Kurzkommentar, Zurich 2010, n. 4 ad art. 239 CPC). Par conséquent, le présent jugement est motivé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