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79 vom 19. November 2014</w:t>
      </w:r>
    </w:p>
    <w:p>
      <w:r>
        <w:t>VD Tribunal cantonal, 2014-11-19, FR</w:t>
      </w:r>
    </w:p>
    <w:p>
      <w:r>
        <w:rPr>
          <w:b/>
        </w:rPr>
        <w:t xml:space="preserve">Quelle: </w:t>
      </w:r>
      <w:r>
        <w:t>https://mcp.opencaselaw.ch/entscheid/vd_findinfo_Jug___2015___79</w:t>
      </w:r>
    </w:p>
    <w:p>
      <w:r>
        <w:t>FR: VD_FINDINFO Jug / 2015 / 79 du 19 novembre 2014</w:t>
      </w:r>
    </w:p>
    <w:p>
      <w:r>
        <w:t>IT: VD_FINDINFO Jug / 2015 / 79 del 19 novembre 2014</w:t>
      </w:r>
    </w:p>
    <w:p>
      <w:pPr>
        <w:pStyle w:val="Heading2"/>
      </w:pPr>
      <w:r>
        <w:t>Regeste</w:t>
      </w:r>
    </w:p>
    <w:p>
      <w:r>
        <w:t>EXCÈS DE VITESSE, À L'INTÉRIEUR DES LOCALITÉS, ERREUR SUR LES FAITS{DROIT PÉNAL}, MARQUE{SIGNALISATION ROUTIÈRE} | 13 CP, 27 al. 1 LCR, 90 al. 2 LCR, 4a al. 1 OCR, 4a al. 2 OCR</w:t>
      </w:r>
    </w:p>
    <w:p>
      <w:pPr>
        <w:pStyle w:val="Heading2"/>
      </w:pPr>
      <w:r>
        <w:t>Erwägungen</w:t>
      </w:r>
    </w:p>
    <w:p>
      <w:r>
        <w:rPr>
          <w:b/>
        </w:rPr>
        <w:t>E. 1.1</w:t>
      </w:r>
    </w:p>
    <w:p>
      <w:r>
        <w:t>et les arrêts cités).</w:t>
      </w:r>
    </w:p>
    <w:p>
      <w:r>
        <w:rPr>
          <w:b/>
        </w:rPr>
        <w:t>E. 1.2</w:t>
      </w:r>
    </w:p>
    <w:p>
      <w:r>
        <w:t>En l'occurrence, interjeté en temps utile et suffisamment motivé, l'appel est recevable (art. 399 al. 3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soutient qu’à l’endroit où la vitesse a été mesurée, il ne se trouvait pas dans une « zone bâtie de façon compacte » au sens de l’art. 4a al. 2 OCR (Ordonnance sur les règles de la circulation routière du 13 novembre 1962, RS 741.11) et qu’on ne saurait lui opposer la présence, entre 50 et 70 mètres plus loin, du panneau de fin de localité et de fin de limitation générale de vitesse à 50 km/h.</w:t>
      </w:r>
    </w:p>
    <w:p>
      <w:r>
        <w:rPr>
          <w:b/>
        </w:rPr>
        <w:t>E. 3.1</w:t>
      </w:r>
    </w:p>
    <w:p>
      <w:r>
        <w:t>Aux termes de l’art. 4a al. 1 OCR, la vitesse maximale générale des véhicules peut atteindre, lorsque les conditions de la route, de la circulation et de visibilité sont favorables : - 50 km/h dans les localités (let. a); - 80 km/h hors de localités, à l’exception des semi-autoroutes et des autoroutes (let. b); - 100 km/h sur les semi-autoroutes (let. c); - 120 km/h sur les autoroutes (let. d). L’alinéa 2 précise que 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Les alinéas 3, 3 bis et 4 concernent les limitations de vitesse à 80, 100 et 120 km/h. L’alinéa 5 prescrit que lorsque des signaux indiquent d'autres vitesses maximales, celles-ci sont applicables en lieu et place des limitations générales de vitesse (al. 1); il en va de même des vitesses inférieures imposées à certains genres de véhicules par l'art.</w:t>
      </w:r>
    </w:p>
    <w:p>
      <w:r>
        <w:rPr>
          <w:b/>
        </w:rPr>
        <w:t>E. 3.2</w:t>
      </w:r>
    </w:p>
    <w:p>
      <w:r>
        <w:t>En l’espèce, l’appelant ne conteste pas que l’excès de vitesse a été commis, alors qu’il avait franchi le panneau annonçant l’entrée dans le village et après une ou plusieurs signalisations annonçant la limitation de vitesse à 50 km/h (appel, ch. 10, p. 5). Or, comme on l’a relevé ci-avant, la limitation générale à 50 km/h commence au signal "vitesse maximale 50, limite générale" et se termine seulement au signal "fin de la vitesse maximale 50, limite générale" (art. 4a al. 2 OCR, 22 al. 3 OSR). C'est ce dernier signal qui est déterminant pour la fin de la limitation (cf. TF 6A.78/2004 du 21 février 2005 c. 2). En l’occurrence, il n’y a pas de panneau de fin de localité et de fin de limitation générale de vitesse à 50 km/h avant l’endroit où a eu lieu le contrôle, cette signalisation se situant entre 50 et 70 mètres plus loin – ce qui est admis (appel, ch. 10, p. 5) –, de sorte qu’à l’endroit où la vitesse a été mesurée, X.________ se trouvait encore à l’intérieur de la localité au sens de l’art. 1 al. 4 OSR ; c’est donc en vain qu’il se fonde sur l’art. 4a al. 2 OCR pour contester la gravité objective de l’infraction. Pour le surplus, au vu de la configuration des lieux présentée sur Google Maps (pièce 11), en particulier de l’agrandissement des images visibles sur internet, il ne peut raisonnablement soutenir qu’il se trouvait hors « zone bâtie de façon compacte ». En effet, il a été contrôlé alors qu’il venait de franchir un passage pour piétons et qu’il se trouvait encore en plein carrefour, à la hauteur du débouché d’un chemin sur sa gauche limité à 30 km/h, après en avoir franchi un autre sur sa droite – également limité à 30 km/h –, ce qui n’est pas contesté (appel, ch. 7, p. 5 in initio ). Avec le premier juge, il y a ainsi lieu de retenir que le caractère de « localité » et, partant, la limitation générale de vitesse à 50 km/h s’appliquent à tout le moins jusqu’à et y compris ce carrefour, la route étant ensuite bordée de prés et d’arbres de part et d’autre (c. 2.1 pp. 8 et 9 supra ; pièce 11). Cette limitation s’imposait donc à X.________. Ainsi, celui-ci se trouvait à l’intérieur d’une localité et a dépassé la vitesse maximale de 25 km/h, ce qui justifie, conformément à la jurisprudence du Tribunal fédéral rappelée ci-dessus, une condamnation pour violation grave des règles de la circulation. 4. L’appelant plaide subsidiairement l’erreur sur les faits. 4.1 L’art. 13 al. 1 CP dispose que quiconque agit sous l’influence d’une appréciation erronée des faits est jugé d’après cette appréciation si elle lui est favorable. L’erreur sur les faits peut porter non seulement sur les éléments descriptifs, mais également sur un élément constitutif objectif de l’infraction. Agit ainsi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(art. 19 al. 1 aCP et 13 al. 1 CP). La punissabilité de la négligence entre éventuellement en considération lorsque l'erreur aurait pu être évitée en usant des précautions voulues et que la négligence est réprimée par la loi (art. 19 al. 2 aCP et 13 al. 2 CP). 4.2 En l’espèce, l’appelant affirme qu’en raison de la configuration des lieux, qui selon lui ne constitueraient pas une zone bâtie compacte, il pouvait se croire autorisé à circuler à 80 km/h. On ne saurait suivre cet argument. La présence, à l’entrée du village, du panneau annonçant le début de la localité et du signal de limitation de vitesse à 50 km/h, et, à la sortie du village, de la signalisation de fin de la limitation de vitesse, que l’intéressé admet avoir vus (appel, ch. 10, p. 5 in fine ; PV aud. 1, lignes 35 et 36), suffit à exclure toute erreur sur les faits. D’ailleurs, il a lui-même avoué avoir accéléré « par anticipation » à la vue du panneau de fin de limitation de vitesse (PV aud. 1, ligne 36). De plus, comme indiqué plus haut, jusqu’au carrefour compris, les lieux présentaient toutes les caractéristiques d’une localité. Dans ces circonstances, on ne voit pas ce qui aurait pu amener l’appelant à croire qu’il était hors localité, comme il le prétend, d’autant plus qu’il connaissait cet endroit puisqu’il a admis qu’à l’époque, il passait par là « de temps en temps » (jugt, p. 5). Mal fondé, ce moyen doit donc également être rejeté. 4.3. L’appelant fait encore valoir, à cet égard, que la signalisation de fin de limitation de vitesse serait illicite car apposée de manière irrégulière. 4.3.1 L'art. 27 al. 1 LCR impose aux usagers de la route de se conformer aux signes et aux marques. Ceux-ci ne sont obligatoires que s'ils sont clairs et que leur portée est aisément reconnaissable ( ATF 127 IV 229 c. 2c.aa p. 232 ; ATF 106 IV 138 c. 3 p. 140).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1er LCR). Une éventuelle illicéité n'est pas reconnaissable pour la majorité d'entre eux. Aussi, un usager qui sait qu'un signal n'a pas été apposé régulièrement ne doit pas, par son non-respect, mettre en danger les autres usagers qui se fient à l'apparence ainsi créée ( ATF 128 IV 184 c. 4.2 p. 186).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(TF 6B_112/2011 du 8 juin 2011 c. 3.3 et les arrêts cités). 4.3.2 Il est constant que la signalisation limitant la vitesse à 50 km/h et, partant, celle de fin de limitation de vitesse, placée exclusivement à gauche de la chaussée, contrevient à l'art. 103 de l'Ordonnance sur la signalisation routière (OSR; RS 741.21) de sorte qu'elle est irrégulière (TF 6B_112/2011 c. 3.3.1) comme le relève l’appelant (appel, ch. 11, p. 6). Toutefois, cette irrégularité n'affecte pas la visibilité du panneau de signalisation pour un conducteur normalement vigilant, ce que ne conteste pas le prévenu. Aussi, compte tenu de la confiance créée pour les autres usagers dans l'indication de la limitation de vitesse, au vu des principes développés par la jurisprudence, l'irrégularité de l'emplacement du signal ne constitue pas un vice si manifeste qu'il se justifierait d'en prononcer la nullité. En d’autres termes, même s'ils n'ont pas été apposés de manière régulière, les signaux ou les marques doivent être observés dans la mesure où ils créent pour les autres usagers de la route une apparence juridique digne d'être protégée (ATF 128 IV 184 c. 4). Cela étant, on peut s’abstenir d’examiner les autres irrégularités invoquées par l’appelant à cet égard, à savoir le fait que la signalisation en question serait placée « trop tard » ou qu’elle aurait dû être répétée (appel, ch. 11, p. 7), tant le moyen est dépourvu de toute pertinence.</w:t>
      </w:r>
    </w:p>
    <w:p>
      <w:r>
        <w:rPr>
          <w:b/>
        </w:rPr>
        <w:t>E. 5</w:t>
      </w:r>
    </w:p>
    <w:p>
      <w:r>
        <w:t>X.________ ne conteste pas la peine en soi ; il se limite à conclure à son acquittement, subsidiairement au prononcé d’une contravention pour violation simple des règles de la circulation au sens de l’art. 90 al. 1 LCR, en partant de la prémisse que ses précédents moyens sont admis, ce qui n’est pas le cas. La Cour de céans est d’avis qu’une peine pécuniaire de 20 jours-amende se justifie, compte tenu de l’antécédent en matière d’infraction à la LCR, du fait que l’on se trouve à la limite inférieure du cas grave et du fait que l’excès de vitesse a certes été commis peu avant la fin de la localité, mais à une intersection, entre un arrêt de bus et le débouché d’un chemin limité à 30 km/h, juste après un passage pour piétons. Le montant du jour-amende, arrêté à 230 fr., est également adéquat, au vu de la situation économique de l’intéressé (c. 1 p. 8 supra ) ; il apparaît même modeste au regard de la fortune de celui-ci. La révocation du précédent sursis n’est pas non plus critiquable. Il suffit de constater qu’à l’époque des faits, l’appelant avait déjà subi une condamnation pour violation grave des règles de la circulation routière à une peine pécuniaire de 18 jours-amende à 500 fr. le jour et à une amende de 4'000 fr., et qu’il venait de récupérer son permis, après trois mois de retrait pour excès de vitesse ( ibidem ). Au vu de l’effet dissuasif que la révocation du précédent sursis de la précédente peine devrait provoquer, le premier juge a estimé à juste titre que la nouvelle peine pouvait être assortie d’un sursis, mais avec un long délai d’épreuve, afin de tenir compte du risque de récidive. En revanche, la Cour de céans est d’avis que la quotité de l’amende, fixée à 4'000  fr. par le Tribunal de police, est excessive parce que proportionnellement trop importante par rapport à la peine pécuniaire et qu’il convient de la réduire à 900 fr., la peine privative de liberté de substitution étant fixée à 4 jours.</w:t>
      </w:r>
    </w:p>
    <w:p>
      <w:r>
        <w:rPr>
          <w:b/>
        </w:rPr>
        <w:t>E. 6</w:t>
      </w:r>
    </w:p>
    <w:p>
      <w:r>
        <w:t>En conclusion, l'appel est très partiellement admis en ce sens que le montant de l’amende infligée à X.________ sera ramené à 900 fr. et la peine privative de liberté de substitution réduite à 4 jours. Il est rejeté pour le surplus. Vu l’issue de la cause, les frais d’appel seront mis par trois quarts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