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75 vom 24. Juni 2014</w:t>
      </w:r>
    </w:p>
    <w:p>
      <w:r>
        <w:t>VD Tribunal cantonal, 2014-06-24, FR</w:t>
      </w:r>
    </w:p>
    <w:p>
      <w:r>
        <w:rPr>
          <w:b/>
        </w:rPr>
        <w:t xml:space="preserve">Quelle: </w:t>
      </w:r>
      <w:r>
        <w:t>https://mcp.opencaselaw.ch/entscheid/vd_findinfo_Jug___2015___75</w:t>
      </w:r>
    </w:p>
    <w:p>
      <w:r>
        <w:t>FR: VD_FINDINFO Jug / 2015 / 75 du 24 juin 2014</w:t>
      </w:r>
    </w:p>
    <w:p>
      <w:r>
        <w:t>IT: VD_FINDINFO Jug / 2015 / 75 del 24 giugno 2014</w:t>
      </w:r>
    </w:p>
    <w:p>
      <w:pPr>
        <w:pStyle w:val="Heading2"/>
      </w:pPr>
      <w:r>
        <w:t>Regeste</w:t>
      </w:r>
    </w:p>
    <w:p>
      <w:r>
        <w:t>LÉSION CORPORELLE SIMPLE, MISE EN DANGER DE LA VIE D'AUTRUI{ART. 129 CP}, INJURE, CONTRAINTE SEXUELLE, VIOL, INSOUMISSION À UNE DÉCISION DE L'AUTORITÉ, PEINE PRIVATIVE DE LIBERTÉ, AMENDE | 123 CP, 129 CP, 177 CP, 189 CP, 190 CP, 192 CP, 40 CP, 47 CP, 49 al. 1 CP, 49 CP, 50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G.________ est recevable, de même que celui du Ministère public.</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w:t>
      </w:r>
    </w:p>
    <w:p>
      <w:r>
        <w:t>Appel de G.________ Durant l'enquête et aux débats de première instance, l'appelant a contesté la commission de tout fait punissable. Il a imputé ses mises en cause par C.________ à une volonté de vengeance de celle-ci à son encontre. Il a attribué les marques de violence constatées sur le corps de la victime à des bagarres de celle-ci avec autres personnes que lui ou à des heurts accidentels. A l'audience d'appel, il a admis, outre ces bagarres, avoir donné quelques gifles à son amie. Il a intégralement admis, pour le surplus, l'exactitude de la version des faits du plaignant J.________. Enfin, en plaidoirie, il n'a plus contesté les actes de violence constitutifs de voies de fait et de lésions corporelles, qui lui étaient reprochés. Les premiers juges ont acquis la conviction générale de la sincérité de C.________ en considérant plusieurs éléments convergents (cf. jugement, pp. 33 in fine et 34). Il s'agit, d'une part, des déclarations constantes et immuables de la plaignante – corroborées par les témoignages de ses proches, de même que par les constatations médicales et les photos qui les étayent – et, d'autre part, des antécédents du prévenu déjà condamné en 2006 pour des lésions corporelles simples (P. 67) et en 2013, pour des faits comparables commis à l'encontre de sa nouvelle compagne (P. 61).</w:t>
      </w:r>
    </w:p>
    <w:p>
      <w:r>
        <w:rPr>
          <w:b/>
        </w:rPr>
        <w:t>E. 3.1</w:t>
      </w:r>
    </w:p>
    <w:p>
      <w:r>
        <w:t>L'appelant s'en prend à la crédibilité de la victime, sans toutefois tenter de démontrer que les déclarations de celle-ci auraient varié tout au long de l'enquête. Si l'on se réfère à la chronologie des plaintes et dépositions de C.________ [cf. plainte du 24 décembre 2009 (P. 4), audition du 23 mars 2010 comportant retrait de la plainte antérieure (PV aud. 2), plainte du 5 septembre 2010 (P. 11), extension de plainte du 26 novembre 2010 (P. 12/2), audition détaillée du 21 décembre 2010 (PV aud. 4), déclarations à l'audience de jugement du 23 juin 2014 (jugement p. 7 et 8)], on ne constate pas, dans les propos de la victime, d'incohérence ou de variations majeures. Pour le surplus, les constatations médicales au dossier corroborent les récits de C.________, soit : - La lettre du Dr[...] du 1 er octobre 2010 (Dossier A : P. 12/3) qui fait état des consultations des 7 juin, 8 juin, 9 juillet et 13 septembre 2010, au cours desquelles C.________ a exposé avoir été violentée par son ami (viols, strangulations, morsures, coups, dents cassées). Les constatations médicales de ce praticien confirment les plaintes de la patiente, dont il a photographié les blessures. - La lettre du 14 octobre 2011 du [...] (Dossier A : P. 51) qui mentionne que C.________ s'est présentée aux urgences de cet établissement le 18 août 2010 pour y recevoir des soins à la suite d'une plaie mentonnière de 25 mm. Elle a alors exposé que son compagnon lui avait assené un coup de poing au menton et que sa chevalière avait provoqué la plaie. - Le rapport de consultation de la [...] du 31 août 2010 qui pose le diagnostic de coups et blessures de la part d'un tiers (son ami) (Dossier A : P. 47). - Le constat médical de l'Unité de Médecine des Violences [...] (P. 12/4, 28 et 50) consécutif à un examen du 1 er septembre 2010 documenté par des photos (P. 29), d'après lequel la patiente disait avoir été, le 29 août précédent, giflée, battue à coups de poing, de coude, de tête et de genou, ainsi que tirée par les cheveux, brûlée à la braise de cigarette, étranglée et abusée sexuellement. La victime, qui avait aussi évoqué des épisodes antérieurs de violence, avait pleuré durant l'entretien, et avait manifesté des douleurs et des angoisses. Les médecins de cette unité ont constaté sur C.________ de multiples abrasions, ecchymoses, lésions érythémateuses, plaies, et zones ecchymotiques. - La lettre de la [...] du 14 janvier 2011 (Dossier A : P. 23/1 et P. 23/2) faisant notamment état d'un scanner cérébral le 3 septembre 2010 pour "recherche d'un saignement inter-crânien chez une patiente présentant des vertiges et des troubles visuels suite à une agression il y a quelques jours". - Le rapport psychologique (Dossier A : P. 24) du 20 janvier 2010 (recte 2011) évoquant des épisodes de violence et retenant le diagnostic de stress post traumatique. - La lettre du [...] du 14 mars 2011 (Dossier A : P. 34), qui, en complément de ses constatations du 12 octobre 2010 se rapportant aux violences subies par [...] le 29 août 2010 et leurs suites (P. 48), évoque une consultation gynécologique du 31 août 2010 au cours de laquelle [...] avait dit avoir été forcée par son ami à prendre des médicaments puis avoir été contrainte à des rapports sexuels et une sodomie le 29 août 2010. En définitive, on ne relève que deux incohérences sans réelle portée entre la teneur des écrits médicaux et les dépositions et plaintes de C.________. Premièrement, s'agissant d'un épisode du 17 avril 2010, la plaignante a évoqué une bagarre avec des voisins lui ayant occasionné des lésions, et non une altercation avec son ami (Dossier A : P. 26 et 27). Même si ces faits tendent à montrer que la plaignante était aussi susceptible d'être blessée dans des affrontements avec des tiers, ils ne donnent pas à penser que l'appelant aurait pu être confondu avec d'autres auteurs de lésions, celles causées le 17 avril 2010 ne lui étant pas pénalement imputées. Deuxièmement, s'agissant de l'épisode de violence sexuelle du 29 août 2010, la plaignante a évoqué sa soumission forcée en signalant des coups, mais aussi l'absorption contrainte de médicaments (Dossier A : P. 34 et 48). Cette forme de contrainte, qui en soi n'excluait pas la contrainte par la force appliquée lors de chaque épisode d'abus, n'a pas été reprise dans l'acte d'accusation, si bien qu'elle ne génère pas de contradiction décisive. Ce premier grief s'avère donc inopérant.</w:t>
      </w:r>
    </w:p>
    <w:p>
      <w:r>
        <w:rPr>
          <w:b/>
        </w:rPr>
        <w:t>E. 3.2</w:t>
      </w:r>
    </w:p>
    <w:p>
      <w:r>
        <w:t>L'appelant se prévaut ensuite de la tardivité des certificats médicaux. Ce moyen est inconsistant. Le contenu des lettres, certificats et attestations médicaux ne suscite aucun doute quant à la réalité des lésions constatées et l'origine de celles-ci suivant le récit qu'en a donné la patiente. En particulier, il n'existe aucun indice permettant de retenir que l'auteur des blessures ne serait pas l'appelant. Dès lors que ces documents aient été établis à brève ou moyenne échéance ou qu'il s'agisse de récapitulatifs fondés sur de la documentation médicale est sans portée décisive sur leur force probante.</w:t>
      </w:r>
    </w:p>
    <w:p>
      <w:r>
        <w:rPr>
          <w:b/>
        </w:rPr>
        <w:t>E. 3.3</w:t>
      </w:r>
    </w:p>
    <w:p>
      <w:r>
        <w:t>L'appelant nie les agressions sexuelles dénoncées par C.________ Sur ce point, il se borne à soutenir que la plaignante ne serait pas crédible s'agissant de ces infractions, en particulier faute de constats médicaux, sans toutefois étayer davantage cette affirmation. En réalité, il est notoire que de telles agressions ne laissent pas forcément des traces. De plus la crédibilité de C.________ repose sur la constance de ses déclarations, sur les détails sonnant vrais qui les émaillent (notamment l'évocation d'un saignement de l'anus; Dossier A : P. 12/4 à la dernière ligne de la première page), sur l'émotion congruente manifestée lors de certains récits aux médecins, sur le diagnostic de stress post traumatique, sur le schéma habituel du tyran domestique qui étend la domination de sa victime au domaine sexuel. Le grief est mal fondé.</w:t>
      </w:r>
    </w:p>
    <w:p>
      <w:r>
        <w:rPr>
          <w:b/>
        </w:rPr>
        <w:t>E. 3.4</w:t>
      </w:r>
    </w:p>
    <w:p>
      <w:r>
        <w:t>[...] soeur de la plaignante, a été entendue en cours d'enquête (PV aud. 6) et aux débats de première instance (jugement p. 17 et 18).  J.________, qui connaît la plaignante depuis 20 ans, a été entendu en première instance comme plaignant (jugement p. 6). [...], fréquentant la zone de la Riponne, qui avait hébergé la plaignante a également été entendu par les premiers juges (jugement p. 14). Comme il s'agissait de proches de la victime étant toujours en contact avec elle lorsque les dispositions ont été recueillies, l'appelant soutient que la force probante de leurs témoignages serait nulle. La proximité induite par un lien de famille ou un rapport d'amitié ne mine pas comme tel un témoignage, cette preuve pouvant être requise de toute personne y compris de proches ou d'amis (art. 162 CPP), dont certains ont le droit de refuser de témoigner (art. 168 CPP). La proximité entre témoin et partie constitue en revanche un élément entrant dans l'appréciation libre de la preuve selon l'intime conviction que le juge retire de l'ensemble de la procédure au sens de l'art. 10 al. 2 CPP. En l'espèce, on ne dispose d'aucun indice que les témoins en question qui ont fait des témoignages précis, mesurés et convaincants auraient fait des dépositions fausses, en particulier menti sur les confidences de femme battue, marquée de coups et abusée que la plaignante leur avait faites. Dès lors il n'y a aucun motif d'écarter ces témoignages et le moyen s'avère infondé.</w:t>
      </w:r>
    </w:p>
    <w:p>
      <w:r>
        <w:rPr>
          <w:b/>
        </w:rPr>
        <w:t>E. 3.5</w:t>
      </w:r>
    </w:p>
    <w:p>
      <w:r>
        <w:t>Dans un ultime grief l'appelant reproche aux premiers juges d'avoir écarté sans raison les témoignages à décharge, soit d'avoir omis de considérer que C.________ avait déjà rencontré des problèmes auparavant avec d'autres personnes et qu'elle aurait dénoncé à tort des tiers. Contrairement à ce que soutient l'appelant, le jugement de première instance fait état de l'agressivité de C.________ en page 33. Il indique que la victime avait certainement eu un comportement favorisant le passage à l'acte, dès lors qu'elle se trouvait souvent sous l'influence de supéfiants. S'agissant, par ailleurs, des fausses accusations alléguées, elles se fondent sur le témoignage indirect de [...] (PV aud. 8) selon lequel [...], précédent ami de la victime, lui aurait dit que celle-ci aurait accusé celui-là de viol en criant par la fenêtre, et qu'elle aurait réitéré cette accusation en le croisant dans la rue alors qu'elle était accompagnée de l'appelant. Un tel témoignage ne saurait toutefois être pris en considération. En effet, le témoin n'a pas assisté aux faits qu'il évoque et ne peut ainsi en attester ni la véracité ni la fausseté.</w:t>
      </w:r>
    </w:p>
    <w:p>
      <w:r>
        <w:rPr>
          <w:b/>
        </w:rPr>
        <w:t>E. 3.6</w:t>
      </w:r>
    </w:p>
    <w:p>
      <w:r>
        <w:t>En définitive, l'état de fait des premiers juges échappe à la critique et doit être confirmé.</w:t>
      </w:r>
    </w:p>
    <w:p>
      <w:r>
        <w:rPr>
          <w:b/>
        </w:rPr>
        <w:t>E. 4</w:t>
      </w:r>
    </w:p>
    <w:p>
      <w:r>
        <w:t>C.________ a conclu à ce qu'il lui soit donné acte de ses réserves civiles (P. 69). L'appelant conteste cette formulation qui a abouti au chiffre V du dispositif (cf. mémoire p. 4). Il est vrai que l'art. 123 al. 2 CPP enjoint la partie civile de chiffrer ses conclusions et de les motiver au plus tard durant les plaidoiries. La sanction de la violation de cette obligation n'est pas le déboutement de la partie civile, mais son renvoi à agir devant le juge civil (Jeandin/ Matz, Commentaire romand n° 13 ad art. 123 CPP). L'art. 126 al. 2 let. b CPP prévoit d'ailleurs expressément le renvoi à agir au civil lorsque la partie plaignante n'a pas chiffré ses conclusions de manière suffisamment précise, ce qui inclut lato sensu l'imprécision totale que constitue l'absence de tout chiffre. Le moyen est sans portée.</w:t>
      </w:r>
    </w:p>
    <w:p>
      <w:r>
        <w:rPr>
          <w:b/>
        </w:rPr>
        <w:t>E. 5</w:t>
      </w:r>
    </w:p>
    <w:p>
      <w:r>
        <w:t>Il convient de qualifier pénalement les faits présentés sous lettre c) ci-dessus.</w:t>
      </w:r>
    </w:p>
    <w:p>
      <w:r>
        <w:rPr>
          <w:b/>
        </w:rPr>
        <w:t>E. 5.1</w:t>
      </w:r>
    </w:p>
    <w:p>
      <w:r>
        <w:t>Entre le mois d'août 2009 et le 24 décembre 2009, puis entre le 6 juin 2010 et le 29 août 2010 (cas 1 à 9), le prévenu s'en est pris physiquement à sa compagne C.________ à de nombreuses reprises et lui a ainsi plusieurs fois occasionné des lésions corporelles, allant jusqu'à lui casser les dents et la brûler au visage avec une cigarette. S'agissant des lésions corporelles perpétrées les 23 et 24 décembre 2009 ayant fait l'objet de retrait de plainte (cas 1 et 2), leur punissabilité dépend de l'application de l'art. 123 ch. 2 al. 6 CP, soit que l'auteur est partenaire hétérosexuel de la victime et fait ménage commun avec elle pour une durée indéterminée et que la lésion a été commise durant ce partenariat en ménage commun ou dans l'année ayant suivi la séparation. Ces conditions étaient réalisées durant les deux périodes de vie commune d'août 2009 au 24 décembre 2009 et de mars ou avril 2010 au 29 août 2010. Le 27 août 2011, le prévenu a frappé J.________ avec son ceinturon en lui occasionnant une blessure au cuir chevelu (cf. PV aud. 5 et dossier B : P. 4, 5. 8 et 34). Même si on dispose de peu d'éléments concernant ce ceinturon, on constate, au vu de la blessure infligée, que la boucle métallique de celui-ci qui a été utilisé comme un fléau constitue un objet dangereux susceptible d'occasionner des lésions graves au visage au crâne et à la nuque au sens de l'art. 123 ch. 2 al. 1 CP. Pour les faits ci-dessus, on peut donc confirmer que G.________ s'est rendu coupable de lésions corporelles simples et de lésions corporelles simples qualifiées.</w:t>
      </w:r>
    </w:p>
    <w:p>
      <w:r>
        <w:rPr>
          <w:b/>
        </w:rPr>
        <w:t>E. 5.2</w:t>
      </w:r>
    </w:p>
    <w:p>
      <w:r>
        <w:t>Le jugement entrepris retient que G.________ s'est encore rendu coupable de voies de faits qualifiées au sens de l'art. 126 al. 1 et 2 let. c CP dans les cas où ses coups n'ont pas causé de lésion corporelles ou d'atteinte à la santé (jugement, p. 34). La prescription de l'action pénale des contraventions que sont les voies de fait est de trois ans (art. 109 CP). Ce délai ne court plus si, avant son échéance, un jugement de première instance est rendu (art. 97 al. 3 CPP). Le jugement entrepris étant daté du 24 juin 2014, les voies de fait retenues antérieures au 24 juin 2011, sont prescrites et il faut libérer l'appelant de cette contravention.</w:t>
      </w:r>
    </w:p>
    <w:p>
      <w:r>
        <w:rPr>
          <w:b/>
        </w:rPr>
        <w:t>E. 5.3</w:t>
      </w:r>
    </w:p>
    <w:p>
      <w:r>
        <w:t>Le tribunal a constaté que l'art. 129 CP était applicable à G.________ pour les faits perpétrés entre 6 juin 2010 et le 29 août 2010 (cas 3, 4, 8 et 9) dès lors que les étranglements étaient d'une fermeté telle que la victime voyait blanc et n'arrivait plus à respirer, G.________ ayant pris le risque, en toute conscience et volonté d'une suite létale, étant précisé qu'il était notoire qu'une strangulation, est de nature, par un effet réflexe, à entraîner la mort (jugement p. 35). Contrairement à ce que retient le tribunal, la mort par activation du réflexe cardio-inhibiteur lors de certains étranglements n'est pas notoire. L'étranglement est d'ailleurs pratiqué comme technique courante dans les entraînements de nombreux sports de combat. In casu, c'est l'intensité et la durée du geste du prévenu qui a mis en danger la vie de la plaignante. En matière de strangulation, la jurisprudence a en effet admis qu'il pouvait y avoir danger de mort lorsque l'auteur étranglait sa victime avec une certaine intensité. Ainsi,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(ATF 124 IV 53; TF 6B_87/2013 du 13 mai 2013 c. 3.1 ibid.). Tel est le cas des étranglements que l'appelant a infligés à la plaignante, souvent avec enfoncement des pouces dans les tissus du cou, et qui se sont traduits par des symptômes comme interruption de la respiration et troubles de la vision (voir blanc; cas 3, 4, 9), sensation de prochaine perte de conscience (se sentir partir; cas 8) attestant de la violence et la durée de l'interruption des flux vitaux assurant l'alimentation du cerveau en oxygène, soit d'un danger de mort imminent.</w:t>
      </w:r>
    </w:p>
    <w:p>
      <w:r>
        <w:rPr>
          <w:b/>
        </w:rPr>
        <w:t>E. 5.4</w:t>
      </w:r>
    </w:p>
    <w:p>
      <w:r>
        <w:t>S'agissant de l'acte sexuel que G.________ a imposé à sa compagne dans la nuit du 6 au 7 juin 2010 (cas 3), le tribunal retient à juste titre que l'intéressé s'est rendu coupable de viol au sens de l'art. 190 al. 1 CP, dès lors que C.________ avait explicitement déclaré qu'elle était opposée à toute relation sexuelle et G.________ n'en a pas tenu compte. Concurremment, les faits du 29 août 2010 sont constitutifs de contrainte sexuelle au sens de l'art. 189 CP, dès lors que, toujours contre la volonté de C.________, G.________ lui a infligé une sodomie.</w:t>
      </w:r>
    </w:p>
    <w:p>
      <w:r>
        <w:rPr>
          <w:b/>
        </w:rPr>
        <w:t>E. 5.5</w:t>
      </w:r>
    </w:p>
    <w:p>
      <w:r>
        <w:t>G.________ s'est encore rendu coupable d'injure (art. 177 CP) en traitant J.________ de "fils de pute" et de "connard" (CAPE 27 mai 2013/108 c. 3).</w:t>
      </w:r>
    </w:p>
    <w:p>
      <w:r>
        <w:rPr>
          <w:b/>
        </w:rPr>
        <w:t>E. 5.6</w:t>
      </w:r>
    </w:p>
    <w:p>
      <w:r>
        <w:t>En s'approchant de C.________ en dépit des engagements qu'il avait pris devant la justice sous la menace d'une sanction, le prévenu s'est également rendu coupable d'insoumission à une décision de l'autorité (292 CP). En troublant l'ordre public, il a enfreint l'art. 26 du Règlement général de police de la Commune de Lausanne (ci-après : RGP). Ces contraventions sont pas prescrites dès lors qu'elles ont été commises le 27 août 2011.</w:t>
      </w:r>
    </w:p>
    <w:p>
      <w:r>
        <w:rPr>
          <w:b/>
        </w:rPr>
        <w:t>E. 6</w:t>
      </w:r>
    </w:p>
    <w:p>
      <w:r>
        <w:t>Il convient de fixer la peine à infliger compte tenu de ces chefs de condamnation.</w:t>
      </w:r>
    </w:p>
    <w:p>
      <w:r>
        <w:rPr>
          <w:b/>
        </w:rPr>
        <w:t>E. 7</w:t>
      </w:r>
    </w:p>
    <w:p>
      <w:r>
        <w:t>Recours du Ministère public Le Parquet s'en prend à la quotité de la peine infligée qu'il estime trop clémente compte tenu des faits retenus. Il requiert que cette peine soit portée à 4 ans. Il invoque une violation des art. 47 et 49 al. 1 et 2 CP. Il conteste, s'agissant de ce dernier point, le caractère complémentaire de la peine à infliger dans la présente procédure. Il ne remet pas en cause l'amende de 500 fr. infligée pour sanctionner les contraventions.</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 7.2.1 La culpabilité de G.________ est lourde. Les infractions graves sont nombreuses : deux viols, une contrainte sexuelle, plusieurs mises en danger de la vie d'autrui, des lésions corporelles simples empreintes de sadisme, de lâcheté et de fourberie, une pluie de coups, deux brûlures de cigarette, quatre dents brisées, le tout asséné à une femme physiquement faible et menue, qu'il a persisté à maltraiter cruellement malgré une première plainte. Il a démontré, par son comportement, que l'intégrité physique et sexuelle de C.________, voire sa vie, n'avaient aucune valeur à ses yeux. Il la frappait à la moindre frustration, n'ayant comme but que d'asseoir sa domination sur elle. Il a également empêché C.________ de demander de l'aide et de mettre ainsi fin à son calvaire en la faisant vivre dans la terreur et en jouant avec ses sentiments (Dossier A : PV aud. 4 ligne 42-44; PV aud. 6 lignes 60-62, P. 12/2 et 48). Il s'en est pris à une victime faible et vulnérable. L'appartenance des protagonistes au milieu des toxicomanes vivant en marge n'est pas une circonstance à décharge significative, mis à part la banalisation d'une certaine violence, le manque de respect pour soi et des autres dans une existence centrée sur la recherche de stupéfiants ou d'alcool. Il en irait différemment si l'on pouvait déduire de cet environnement une certaine diminution de la responsabilité pénale de l'auteur. Tel n'est cependant pas le cas. G.________, qui est toujours sous méthadone, ne prétend en effet pas avoir agi sous l'empire de toxiques, la méthadone ne pesant pas sur la conscience ou sa volonté, mais supprimant le manque. A décharge, on retiendra largement l'état dépressif dont s'est prévalu l'appelant. A décharge encore, on tiendra compte des aveux partiels et des excuses qu'il a exprimés devant l'autorité de céans. Dans ces circonstances, la peine privative de liberté de trois ans fixée en première instance est adéquate et doit être confirmée. 7.2.2 La peine infligée à l'appelant sera ferme. En effet, le pronostic est clairement défavorable au vu de la gravité des fautes commises par le prévenu, de ses antécédents, et du fait qu'il a récidivé bien qu'il ait déjà été condamné en 2006 pour lésions corporelles simples, et en 2013 pour des actes comparables commis sur sa nouvelle compagne. 7.2.3 Dans leur examen de la sanction à infliger, les premiers juges n’ont évoqué qu’une peine privative de liberté (jugement p. 36) qu'ils ont considérée comme étant complémentaire à la sanction infligée à G.________ le 4 octobre 2013. Or s'agissant d'une peine pécuniaire – à savoir 90 jours-amende à 30 fr. le jour – le Ministère public demande à bon droit que la peine privative de liberté infligée dans la présente procédure ne soit pas complémentaire à la condamnation d'octobre 2013, le concours (rétrospectif) étant impossible dans un tel cas.</w:t>
      </w:r>
    </w:p>
    <w:p>
      <w:r>
        <w:rPr>
          <w:b/>
        </w:rPr>
        <w:t>E. 7.3</w:t>
      </w:r>
    </w:p>
    <w:p>
      <w:r>
        <w:t>Le fait que la contravention à l'art. 126 al. 1 et 2 let. c CP ne puisse pas être retenue (cf. supra c. 5.2) n'amène pas à modifier l'amende de 500 fr. infligée en première instance. Celle-ci reste, en effet, adéquate pour sanctionner les contraventions aux articles 292 CP et 26 RGP (art. 47 et 106 CP).</w:t>
      </w:r>
    </w:p>
    <w:p>
      <w:r>
        <w:rPr>
          <w:b/>
        </w:rPr>
        <w:t>E. 8</w:t>
      </w:r>
    </w:p>
    <w:p>
      <w:r>
        <w:t>En définitive, le recours de G.________ doit être très partiellement admis en ce sens qu'il est libéré des voies de faits qualifiées au sens de l'art. 126 al. 1 et 2 let. c CP. Il en sera de même de l'appel du Ministère public, la peine nouvellement fixée n'étant pas complémentaire à celle du mois d'octobre 2013.</w:t>
      </w:r>
    </w:p>
    <w:p>
      <w:r>
        <w:rPr>
          <w:b/>
        </w:rPr>
        <w:t>E. 9</w:t>
      </w:r>
    </w:p>
    <w:p>
      <w:r>
        <w:t>Me Sébastien Pedroli, défenseur d'office de G.________ a produit une liste d'opérations faisant état d'un montant de 2'593 fr. 40, représentant 13, 5 heures à 180 fr., 157 fr. 90 de débours et 8 % de TVA. Compte tenu de l'ampleur de la procédure et de l'expérience du dossier déjà acquise en première instance, il se justice d'accorder à ce mandataire une l'indemnité d'office de 2'794 fr. 90 correspondant à ce qu'il a requis, audience en sus. Pour les mêmes motifs, il sied d'accorder au conseil d'office de C.________ Me Charles-Henri de Luze, l'indemnité d'office requise de 1'682 fr. 10, montant correspondant à 7,8 heures d'activité, 140 fr. de débours et 8 % de TVA, audience incluse. G.________ ne sera tenu de rembourser à l'Etat la moitié des indemnités d'office accordées à son mandataire et à celui de C.________ que lorsque sa situation financière le permettra. Vu le sort des appels, les frais de seconde instance, constitués de l'émolument d'arrêt, par 3'120 fr., y compris les indemnités d'office, soit 7'597 fr., sont mis par moitié, soit à hauteur de 3'798 fr. 50, à la charge de G.________ (art. 428 al. 1 CPP), le solde étant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