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67 vom 3. Juni 2014</w:t>
      </w:r>
    </w:p>
    <w:p>
      <w:r>
        <w:t>VD Tribunal cantonal, 2014-06-03, FR</w:t>
      </w:r>
    </w:p>
    <w:p>
      <w:r>
        <w:rPr>
          <w:b/>
        </w:rPr>
        <w:t xml:space="preserve">Quelle: </w:t>
      </w:r>
      <w:r>
        <w:t>https://mcp.opencaselaw.ch/entscheid/vd_findinfo_Jug___2015___67</w:t>
      </w:r>
    </w:p>
    <w:p>
      <w:r>
        <w:t>FR: VD_FINDINFO Jug / 2015 / 67 du 3 juin 2014</w:t>
      </w:r>
    </w:p>
    <w:p>
      <w:r>
        <w:t>IT: VD_FINDINFO Jug / 2015 / 67 del 3 giugno 2014</w:t>
      </w:r>
    </w:p>
    <w:p>
      <w:pPr>
        <w:pStyle w:val="Heading2"/>
      </w:pPr>
      <w:r>
        <w:t>Regeste</w:t>
      </w:r>
    </w:p>
    <w:p>
      <w:r>
        <w:t>CONSTATATION DES FAITS, APPRÉCIATION DES PREUVES, VIOL, COAUTEUR{DROIT PÉNAL} | 190 al. 1 CP, 47 CP,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A.P.________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avoir été présent donc avoir assisté et avoir participé à la scène de viol constituant le cas 2.1 retenu ci-dessus.</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 TF 6B_831/2009 précité, c.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et les références citées).</w:t>
      </w:r>
    </w:p>
    <w:p>
      <w:r>
        <w:rPr>
          <w:b/>
        </w:rPr>
        <w:t>E. 3.3</w:t>
      </w:r>
    </w:p>
    <w:p>
      <w:r>
        <w:t>Les premiers juges ont retenu que les déclarations de l’appelant étaient sujettes à caution contrairement à celles de la plaignante. En effet, il ressort de l’instruction que s’agissant de l’ensemble des faits qui lui sont reprochés, A.P.________ ne s’est pas montré collaborant en cours d’enquête, qu’il n’a cessé de minimiser ses actes, de modifier ses déclarations, de contester farouchement les faits pour finalement, une fois confronté aux mises en cause et/ou preuves de son implication, n’admettre que les faits clairement établis par la police. Concernant le viol, il a donné sa version des faits, puis a varié sans cesse dans ses explications, modifiant sa version pour l’adapter aux preuves ou aux indices qui lui étaient présentés. La crédibilité de l’appelant est ainsi très faible. A l’inverse, la plaignante est crédible. Bouleversée par ce qui venait de lui arriver, elle a aussitôt dit avoir été violée par deux hommes. Elle a maintenu sa version avec constance, sans exprimer d’animosité ou de rancune envers l’appelant. En outre, cette nuit-là, A.P.________ était animé d’une intention sexuelle à l’égard de la victime qu’il avait déjà caressée dans le parc alors qu’il était parfaitement conscient qu’elle n’était pas dans un état normal en raison notamment de l’alcool et de la drogue consommés. Ses explications sur son emploi du temps à partir du moment où il aurait réalisé que la victime et X.________ avaient besoin d’intimité sont également obscures. Tantôt il dit qu’il est descendu dans les escaliers du parking et qu’il a attendu (P. 503, p. 9), tantôt il dit qu’il les a montés et qu’il a attendu (P. 409 – audition de confrontation –, p. 3). On ne comprend d’ailleurs pas pourquoi il aurait attendu dans cette cage d’escaliers au lieu de s’en aller. Au vu de ce qui précède, c’est à bon droit que les premiers juges ont retenu la présence de l’appelant au moment du viol.</w:t>
      </w:r>
    </w:p>
    <w:p>
      <w:r>
        <w:rPr>
          <w:b/>
        </w:rPr>
        <w:t>E. 4</w:t>
      </w:r>
    </w:p>
    <w:p>
      <w:r>
        <w:t>L’appelant conteste toute coaction de viol. Plus particulièrement, il conteste qu’il y ait eu une décision commune parce qu’il n’aurait pas maîtrisé la situation et qu’il aurait été surpris par l’arrivée de X.________. Partant, la peine prononcée devrait être sensiblement moins sévère.</w:t>
      </w:r>
    </w:p>
    <w:p>
      <w:r>
        <w:rPr>
          <w:b/>
        </w:rPr>
        <w:t>E. 4.1.1</w:t>
      </w:r>
    </w:p>
    <w:p>
      <w:r>
        <w:t>Aux termes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L'infraction de viol est intentionnelle, le dol éventuel étant suffisant.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vol. I, 3 e éd., Berne 2010, n. 11 ad art. 190 CP).</w:t>
      </w:r>
    </w:p>
    <w:p>
      <w:r>
        <w:rPr>
          <w:b/>
        </w:rPr>
        <w:t>E. 4.1.2</w:t>
      </w:r>
    </w:p>
    <w:p>
      <w:r>
        <w:t>Est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125 IV 134 c. 3a et les références citées).</w:t>
      </w:r>
    </w:p>
    <w:p>
      <w:r>
        <w:rPr>
          <w:b/>
        </w:rPr>
        <w:t>E. 4.2</w:t>
      </w:r>
    </w:p>
    <w:p>
      <w:r>
        <w:t>Selon l’audition de la victime recueillie la matinée ayant suivi la nuit des faits, ceux-ci ce sont déroulés de la manière suivante (P. 601, p. 3) : «...nous étions dans la cage d’escaliers du parking. Il y avait juste l’arabe (ndlr c’est-à-dire l’appelant) et moi. On a discuté et rigolé tout à fait normalement. Tout d’un coup, il m’a dit que comme j’avais pris de la coke, je lui devais quelque chose. Je ne sais plus les termes qu’il a employés, mais il voulait faire du sexe avec moi. Je lui ai dit que je ne voulais pas et je voulais simplement rentrer chez mon copain. Il insistait avec la parole pour que je reste, mais il ne me touchait pas. Tout à coup le black est arrivé. Lorsqu’il est arrivé, l’arabe était assis sur les escaliers et moi j’étais face à lui debout. Je ne sais pas ce qu’a dit le black, mais il est venu vers moi et m’a tournée et je me suis retrouvée donc dos à lui et face à l’arabe. Le black m’a enlevé tout d’abord mon manteau, puis mon sac. Je n’ai rien fait. J’étais un peu dans les vapes. Ensuite, il m’a remonté mon top jusqu’au dessus des seins. Il ne m’a pas enlevé mon soutien-gorge. Il m’a alors touché lés seins et les parties supérieures de mon corps. L’arabe profitait également de me toucher le haut de mon corps. Je n’avais toujours pas le temps de réagir. Le black, qui était toujours derrière moi, a détaché mon pantalon et me l’a descendu jusque sur les chevilles. Je n’ai toujours pas réagi physiquement, mais avec la parole, je leur ai dit clairement que je voulais partir. Le black a alors sorti sa bite et avec sa main, il m’a fait pencher en avant. L’arabe me touchait toujours le haut du corps et le black a tenté de me pénétrer vaginalement, mais je l’ai repoussé. Il n’a donc pas pu entrer. Il m’a aussi embrassée avec la langue, mais pas longtemps car je l’ai repoussé. Il m’a ensuite retournée face à lui et il a baissé la tête et m’a léché le sexe. Je l’ai repoussé et il m’a retournée une nouvelle fois. Je me suis alors retrouvée dos à lui et il a, à nouveau voulu me pénétrer vaginalement, ce qu’il a réussi à faire, mais il n’a pu faire que 3 ou 4 aller retour car je l’ai repoussé. A chaque fois que je le repoussais, j’essayais de remonter mon pantalon. J’ai commencé à paniquer et pour m’en sortir, je leur ai proposé aux deux de les sucer et qu’après je partirais. Ils avaient l’air content, mais je sentais bien qu’ils n’allaient pas me laisser partir, mais (ndlr même) si je faisais cela. Pendant que je parlais, j’ai réussi à remonter mon pantalon, redescendre mon top et remettre ma veste. J’ai aussi repris mon sac qui était par terre ». En l’espèce, si on ne saurait reprocher à l’appelant d’avoir attiré la victime dans le parking pour abuser d’elle avec Diallo, il était néanmoins clairement animé d’une intention sexuelle à son égard. En outre, sa participation au viol improvisé par Diallo a consisté, d’une part, en demeurant assis sur une marche à bloquer la victime dans l’étroite cage d’escaliers entre les deux hommes, soit en verrouillant la voie de fuite vers le haut, d’autre part, à lui prodiguer des attouchements sur les seins alors que Diallo la maintenait courbée et tentait de la pénétrer ou la pénétrait par derrière, de troisième part, à exprimer son approbation au viol par ses rires. Les attouchements prodigués constituent par ailleurs une participation personnelle de l’appelant à un acte sexuel exercé directement sur la victime. C’est donc une pleine, entière et principale adhésion au viol qui résulte du comportement adopté par l’appelant. En outre, subjectivement, la victime a immédiatement perçue qu’elle était confrontée à deux agresseurs même si un seul d’entre eux l’a pénétrée. Partant, la condamnation de l’appelant pour viol doit donc être confirmée. Vérifiée d’office, la quotité de la peine est adéquate au regard des nombreuses infractions commises, de la culpabilité de l’appelant et de sa situation personnelle.</w:t>
      </w:r>
    </w:p>
    <w:p>
      <w:r>
        <w:rPr>
          <w:b/>
        </w:rPr>
        <w:t>E. 5</w:t>
      </w:r>
    </w:p>
    <w:p>
      <w:r>
        <w:t>En définitive, l’appel de A.P.________ doit être rejeté et le jugement rendu le 3 juin 2014 par le Tribunal des mineurs intégralement confirmé.</w:t>
      </w:r>
    </w:p>
    <w:p>
      <w:r>
        <w:rPr>
          <w:b/>
        </w:rPr>
        <w:t>E. 5.1</w:t>
      </w:r>
    </w:p>
    <w:p>
      <w:r>
        <w:t>L'indemnité de défenseur d'office allouée pour la procédure d'appel sera fixée à 2'493 fr. 70, débours et TVA compris, en tenant compte de douze heures d’activité, une vacation et des débours par 29 francs.</w:t>
      </w:r>
    </w:p>
    <w:p>
      <w:r>
        <w:rPr>
          <w:b/>
        </w:rPr>
        <w:t>E. 5.2</w:t>
      </w:r>
    </w:p>
    <w:p>
      <w:r>
        <w:t>Vu l’issue de la cause, les frais de la présente procédure, constitués de l’émolument de jugement, par 1’225 fr., ainsi que de l’indemnité allouée au défenseur d'office, par 2'493 fr. 70 sont mis à la charge de A.P.________ (art. 44 al. 2 PPMin renvoyant aux art. 422 à 428 CPP). A.P.________ ne sera tenu de rembourser à l’Etat le montant de l'indemnité en faveur de son défenseur d’office que lorsque sa situation financière le permettra (art. 25 al. 2 PPMin renvoyant au régime de l’art.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