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62 vom 26. August 2014</w:t>
      </w:r>
    </w:p>
    <w:p>
      <w:r>
        <w:t>VD Tribunal cantonal, 2014-08-26, FR</w:t>
      </w:r>
    </w:p>
    <w:p>
      <w:r>
        <w:rPr>
          <w:b/>
        </w:rPr>
        <w:t xml:space="preserve">Quelle: </w:t>
      </w:r>
      <w:r>
        <w:t>https://mcp.opencaselaw.ch/entscheid/vd_findinfo_Jug___2015___62</w:t>
      </w:r>
    </w:p>
    <w:p>
      <w:r>
        <w:t>FR: VD_FINDINFO Jug / 2015 / 62 du 26 août 2014</w:t>
      </w:r>
    </w:p>
    <w:p>
      <w:r>
        <w:t>IT: VD_FINDINFO Jug / 2015 / 62 del 26 agosto 2014</w:t>
      </w:r>
    </w:p>
    <w:p>
      <w:pPr>
        <w:pStyle w:val="Heading2"/>
      </w:pPr>
      <w:r>
        <w:t>Regeste</w:t>
      </w:r>
    </w:p>
    <w:p>
      <w:r>
        <w:t>INDEMNITÉ{EN GÉNÉRAL}, LOI FÉDÉRALE SUR LA CIRCULATION ROUTIÈRE, DILIGENCE, PASSAGE POUR PIÉTONS | 33 al. 2 LCR, 90 ch. 1 LCR, 429 CPP (CH)</w:t>
      </w:r>
    </w:p>
    <w:p>
      <w:pPr>
        <w:pStyle w:val="Heading2"/>
      </w:pPr>
      <w:r>
        <w:t>Erwägungen</w:t>
      </w:r>
    </w:p>
    <w:p>
      <w:r>
        <w:rPr>
          <w:b/>
        </w:rPr>
        <w:t>E. 1.1</w:t>
      </w:r>
    </w:p>
    <w:p>
      <w:r>
        <w:t>Interjeté dans les formes et délais légaux (art. 399 CPP) par une partie ayant qualité pour recourir contre le jugement du tribunal de première instance qui a clos la procédure (art. 398 al. 1 CPP), l’appel d'A.________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(Vianin, in : Kuhn/Jeanneret [éd.], Commentaire romand, Code de procédure pénale suisse, Bâle 2011, n. 22 et 23 ad art. 398 CPP). En l’espèce, seule une contravention à la législation sur la circulation routière a fait l’objet de la procédure de première instance, de sorte que l’appel est restreint.</w:t>
      </w:r>
    </w:p>
    <w:p>
      <w:r>
        <w:rPr>
          <w:b/>
        </w:rPr>
        <w:t>E. 2.1</w:t>
      </w:r>
    </w:p>
    <w:p>
      <w:r>
        <w:t>La matérialité des faits retenus par le Tribunal de police n'est plus litigieuse, l'appelante ne contestant plus le déroulement des faits tel qu'il ressort du rapport de dénonciation établi par la police le 2 mars 2013. L'appelante ne conteste pas non plus sa condamnation pour ne pas avoir indiqué son intention de changer de direction en sortant de l'intersection à sens giratoire (cf. déclaration d'appel, p. 5). L'appelante soutient en revanche que son comportement au niveau du passage piéton ne serait pas constitutif d'une violation de l'art. 33 al. 2 LCR, de sorte qu'elle n'aurait pas dû être condamnée pour ces faits. Elle fait en particulier valoir que cette disposition n'impose pas à l'automobiliste de systématiquement s'immobiliser totalement devant le passage pour piétons et d'attendre que le piéton ait terminé la traversée de la chaussée avant de poursuivre sa route; en l'espèce, son comportement aurait été conforme au devoir de prudence.</w:t>
      </w:r>
    </w:p>
    <w:p>
      <w:r>
        <w:rPr>
          <w:b/>
        </w:rPr>
        <w:t>E. 2.2</w:t>
      </w:r>
    </w:p>
    <w:p>
      <w:r>
        <w:t>Selon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1C_425/2012 du 17 décembre 2012 c. 3.2 et les références citées).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(ibidem). Il ressort du but et de l'esprit de la disposition que le devoir de prudence particulière vaut non seulement avant le passage pour piétons lui-même, comme l'indique le texte légal, mais également pendant que l'automobiliste franchit celui-ci.</w:t>
      </w:r>
    </w:p>
    <w:p>
      <w:r>
        <w:rPr>
          <w:b/>
        </w:rPr>
        <w:t>E. 2.3</w:t>
      </w:r>
    </w:p>
    <w:p>
      <w:r>
        <w:t>En l'espèce, il est vrai que l'appelante n'a pas à proprement parler violé la priorité du piéton, en ce sens qu'elle ne l'a pas gêné d'une façon ou d'une autre dans sa marche de prioritaire. Il n'en demeure pas moins qu'elle a passé à un mètre dans le dos de celui-ci, de nuit et sur un passage pour piétons qui est coupé en son milieu par un îlot (cf. P. 10; PV aud. 1, lignes 47 et 48). En présence d'une telle configuration, dans laquelle la largeur de la voie de circulation se trouve réduite, l'appelante a dû s'engager dans l'étroit espace séparant le piéton de l'îlot central. Dans ces circonstances, l'appelante a violé le devoir de prudence que requiert l'art. 33 al. 2 LCR en ne s'arrêtant pas devant le passage pour piétons. Au vu de ce qui précède, c'est à juste titre que le Tribunal de police a reproché à l'appelante d'avoir violé l'art. 33 al. 2 LCR. Dans la mesure où l'appelante fait dépendre son grief relatif à la quotité de la peine uniquement de l'admission du moyen qui précède, le Juge de céans peut se borner à constater que l'appréciation du Tribunal de police est conforme à la loi, de sorte que la peine prononcée peut être confirmée.</w:t>
      </w:r>
    </w:p>
    <w:p>
      <w:r>
        <w:rPr>
          <w:b/>
        </w:rPr>
        <w:t>E. 3.1</w:t>
      </w:r>
    </w:p>
    <w:p>
      <w:r>
        <w:t>L'appelante a en outre pris des conclusions tendant à l'allocation d'une indemnité fondée sur l'art. 429 CPP. Elle réclame un montant de 5'220 fr. 50 au titre de l'indemnisation de ses frais de défense et 500 fr. au titre de tort moral.</w:t>
      </w:r>
    </w:p>
    <w:p>
      <w:r>
        <w:rPr>
          <w:b/>
        </w:rPr>
        <w:t>E. 3.2</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3.3</w:t>
      </w:r>
    </w:p>
    <w:p>
      <w:r>
        <w:t>En l'espèce, comme la condamnation de l'appelante est confirmée, il n'y a pas matière à allocation d'une indemnité fondée sur cette disposition. Par surabondance, on relève que même en cas d'acquittement partiel, les conditions d'une indemnisation des frais d'avocat n'auraient selon toute vraisemblance pas été réunies. Il est en effet douteux que ces dépenses se justifient dans un cas de ce type, qui est simple en fait et en droit, l'appelante ne rendant au surplus pas vraisemblable que l'issue de la procédure pourrait avoir un impact significatif sur sa vie personnelle ou professionnelle (cf. ATF 138 IV 97 c. 2.3, JT 2013 184; en matière de contravention à la LCR, cf. p. ex. TF 6B_563/2012 du 1 er novembre 2012 c. 1.4; CAPE 19 avril 2013/101; CAPE 16 mai 2012/132). A tout le moins, dans un cas juridiquement simple tel que celui de l'espèce, l’activité de l’avocat doit se limiter au minimum, soit tout au plus à une simple consultation (ATF 138 IV 197 c. 2.3.5; cf. p. ex. CAPE 22 avril 2014/135), ce qui n'a manifestement pas été le cas en l'espèce.</w:t>
      </w:r>
    </w:p>
    <w:p>
      <w:r>
        <w:rPr>
          <w:b/>
        </w:rPr>
        <w:t>E. 4</w:t>
      </w:r>
    </w:p>
    <w:p>
      <w:r>
        <w:t>En définitive, l’appel doit être rejeté et le jugement entrepris confirmé. Les frais de la procédure d’appel, constitués du seul émolument d’arrêt, par 540 fr. (art. 21 al. 1 et 2 TFIP [Tarif des frais de procédure et indemnités en matière pénale du 28 septembre 2010; RSV 312.03.1]), doivent être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