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61 vom 6. November 2014</w:t>
      </w:r>
    </w:p>
    <w:p>
      <w:r>
        <w:t>VD Tribunal cantonal, 2014-11-06, FR</w:t>
      </w:r>
    </w:p>
    <w:p>
      <w:r>
        <w:rPr>
          <w:b/>
        </w:rPr>
        <w:t xml:space="preserve">Quelle: </w:t>
      </w:r>
      <w:r>
        <w:t>https://mcp.opencaselaw.ch/entscheid/vd_findinfo_Jug___2015___61</w:t>
      </w:r>
    </w:p>
    <w:p>
      <w:r>
        <w:t>FR: VD_FINDINFO Jug / 2015 / 61 du 6 novembre 2014</w:t>
      </w:r>
    </w:p>
    <w:p>
      <w:r>
        <w:t>IT: VD_FINDINFO Jug / 2015 / 61 del 6 novembre 2014</w:t>
      </w:r>
    </w:p>
    <w:p>
      <w:pPr>
        <w:pStyle w:val="Heading2"/>
      </w:pPr>
      <w:r>
        <w:t>Regeste</w:t>
      </w:r>
    </w:p>
    <w:p>
      <w:r>
        <w:t>FIXATION DE LA PEINE, SURSIS PARTIEL À L'EXÉCUTION DE LA PEINE, ALLOCATION AU LÉSÉ, PARTIE CIVILE, ESCROQUERIE, CONSTATATION DES FAITS | 43 ch. 1 al. 1 CP, 47 al. 1 CP, 73 CP, 398 al. 3 let. b CPP (CH)</w:t>
      </w:r>
    </w:p>
    <w:p>
      <w:pPr>
        <w:pStyle w:val="Heading2"/>
      </w:pPr>
      <w:r>
        <w:t>Erwägungen</w:t>
      </w:r>
    </w:p>
    <w:p>
      <w:r>
        <w:rPr>
          <w:b/>
        </w:rPr>
        <w:t>E. 3</w:t>
      </w:r>
    </w:p>
    <w:p>
      <w:r>
        <w:t>L’appelant conteste ensuite sa condamnation pour escroquerie, blanchiment d’argent et infraction à la LEtr, mais il résulte des griefs exposés qu’il conteste en réalité à nouveau les faits, dont on a vu qu’ils étaient établis à satisfaction de droit. Il doit, en particulier, être relevé que l’intéressé connaissait l’origine des fonds qu’il avait transférés, de même qu’il savait, comme chacun, qu’il n’était pas en droit de séjourner ni de se livrer à des activités commerciales en Suisse sans disposer de l’autorisation administrative idoine, du moins passé le délai de séjour de trois mois. Il en va de même concernant la contestation de sa culpabilité, l’appelant n’exposant aucun grief spécifique en relation avec la fixation de la peine. S’agissant des conclusions civiles et des séquestres, l’appelant se fonde également sur un autre état de fait que celui retenu en définitive pour les contester, soit qu’il n’aurait commis aucun acte répréhensible. Il a pourtant été retenu à juste titre qu’il est le coauteur des escroqueries. Pour les mêmes motifs, la demande d’indemnité fondée sur l’art. 429 CPP doit être rejetée, de même en définitive que l’appel d’K.________. III. Appel du Ministère public 1. 1.1 Le Parquet soutient d’abord que le préjudice pénal s’élève à au moins 237'137 fr. sur la base des pièces figurant au dossier, soit essentiellement les décomptes bancaires et le calcul effectué dans le rapport de police. Toutefois, rien ne viendrait en définitive contredire le décompte établi par feu F.________, selon lequel le dommage résultant des infractions s’élèverait à 322'442 francs. Ce serait dès lors ce dernier montant qui devrait être retenu. 1.2 Les premiers juges ont retenu que la prévenue s’était fait remettre par la dupe un total d’au minimum 180'000 fr. selon ses aveux, mais probablement plus proche de 246'000 fr. selon les extraits bancaires du plaignant au dossier. Ce sont les extraits des comptes [...] et [...] (P. 84 et 85) qui ont servi aux enquêteurs pour établir les montants remis à la prévenue, soit un sous-total de 91'267 fr. 40 pour les montants prélevés sur les comptes [...] (rapport d’investigations sous P. 83 ch. 2.11) et un sous-total de 140'529 fr. 25 pour les montants prélevés sur les comptes de [...] (P. 83 ch. 2.12). Comme le relève le Ministère public, on peut retenir que les comptes bancaires susmentionnés ont servi exclusivement à la remise des sommes à la prévenue, dès lors qu’aucun retrait significatif en espèces n’avait été effectué avant juin 2013. La victime a ainsi vidé ses comptes bancaires pour remettre, entre juin et octobre 2013, d’importantes sommes en espèces à la prévenue. L’acte d’accusation retenait un total de 322'442 fr. par référence au décompte établi par le plaignant avant son décès (P. 131). Ce montant était plus élevé que le total des retraits bancaires car le plaignant aurait conservé également de l’argent liquide à domicile (jugement en p. 33). Le décompte du plaignant, dont la compréhension est loin d’être évidente (cf. P. 131), n’a toutefois pas en lui-même une valeur probante suffisante. Lors de son audition le 14 novembre 2013, le plaignant a en effet précisé que, selon ses calculs, c’était un montant d’environ 300'000 fr. qui avait été remis à la prévenue, sans être affirmatif s’agissant de l’exactitude de son calcul (PV aud. 10 R. 6 p. 5). Il n’est pas démontré non plus à satisfaction de droit que le défunt aurait conservé d’importants montants en espèces à son domicile. Le prêt de la sœur du plaignant n’est pas non plus documenté de manière suffisante. En définitive, il faut retenir que, si les pièces bancaires ont une valeur probante suffisante pour déterminer le montant du préjudice pénal, on ne saurait aller au-delà, en particulier en se fondant sur le décompte unilatéral établi par le plaignant. Il faut donc fixer ce préjudice à 231'796 fr. en chiffre rond, ce qui correspond aux avoirs bancaires retirés et confirmés par pièces. 2. 2.1 Le Ministère public soutient ensuite que la peine privative de liberté infligée aux intimés en première instance serait insuffisante et qu’elle devrait être portée à trois ans. La culpabilité des prévenus serait en effet très lourde, car ils ont ruiné leur dupe, qui est décédée dans la honte et le dénuement. En outre, ils auraient agi sans scrupules et leur prise de conscience serait minime. 2.2 L'art.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136 IV 55 c. 5.4 p. 59; ATF 134 IV 17 c. 2.1).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 19 s.). 2.3.1 Comme l’ont relevé les premiers juges, les prévenus n’ont pas hésité à spolier une personne âgée, dont ils ont abusé de la gentillesse et de la faiblesse. Ils ont ruiné les économies d’une vie, gagnées laborieusement par un ouvrier qui souhaitait léguer quelque chose à ses trois fils. Les prévenus ont agi à de nombreuses reprises, avec une énergie criminelle notable, pour assouvir leurs envies de luxe. Leur mobile apparaît ainsi hautement blâmable. La version qu’ils ont présentée durant l’enquête, consistant à faire passer leur victime pour un vieillard libidineux dans le dessein de se soustraire à leur responsabilité, ne vaut pas mieux. En outre, les infractions sont en concours et la plus grave, l’escroquerie par métier, est susceptible d’une peine pouvant aller jusqu’à dix ans de privation de liberté (art. 146 al. 2 CP). 2.3.2 La timide et tardive prise de conscience de la prévenue, qui a finalement admis en partie les faits aux débats, ne vient à décharge que dans une mesure toute relative, compte tenu d’une version encore minimaliste s’agissant du montant du préjudice. Si la prévenue a eu incontestablement un rôle très actif dans la commission des infractions, le prévenu s’est, pour sa part, montré particulièrement manipulateur, encourageant sa comparse à poursuivre les manœuvres dolosives dans son propre intérêt financier, allant même jusqu’à endosser l’apparence d’un prétendu médecin. Ce faisant, il a trompé activement la dupe en jouant le rôle intellectuellement le plus élaboré. En outre, le prévenu nie les fais contre l’évidence et se montre ainsi incapable de la moindre remise en cause. Ainsi, l’un dans l’autre, si le rôle de la prévenue apparaît prépondérant par l’emprise qu’elle a exercée durant des mois sur la victime, sa prise de conscience permet de retenir une culpabilité identique à la charge des intimés. Il en va de même des crimes et délits retenus en définitive. Cela implique de prononcer une peine identique à l’égard de chaque prévenu. 2.3.3. La peine prononcée en première instance est insuffisante compte tenu de la gravité objective et subjective des infractions et de la lourde culpabilité des prévenus. En outre, comme l’a relevé le Parquet, on ne voit pas, faute d’élément saillant, en quoi les prévenus auraient eu un parcours de vie difficile qui mériterait d’être retenu à décharge. Aucun élément ne doit ainsi être retenu à décharge hormis la timide et tardive prise de conscience de la prévenue déjà mentionnée. Tout bien pesé, c’est une peine privative de liberté de 30 mois qui doit être prononcée.</w:t>
      </w:r>
    </w:p>
    <w:p>
      <w:r>
        <w:rPr>
          <w:b/>
        </w:rPr>
        <w:t>E. 3.1</w:t>
      </w:r>
    </w:p>
    <w:p>
      <w:r>
        <w:t>Le Ministère public soutient encore à titre principal que la peine infligée à chaque prévenu devrait être ferme et à titre subsidiaire que, si un sursis partiel devrait être accordé, la part ferme de la sanction devrait être de moitié.</w:t>
      </w:r>
    </w:p>
    <w:p>
      <w:r>
        <w:rPr>
          <w:b/>
        </w:rPr>
        <w:t>E. 3.2</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3.3</w:t>
      </w:r>
    </w:p>
    <w:p>
      <w:r>
        <w:t>En l’espèce, le pronostic est mitigé, comme l’ont retenu les premiers juges. D’un côté, l’absence d’antécédents des prévenus est un élément de pronostic favorable, mais les versions successives et mensongères qu’ils ont présentées durant l’enquête et, pour partie, aux audiences de première instance et d’appel ainsi que l’absence de réelle prise de conscience rendent nécessaire l’exécution d’une partie substantielle de la peine, dans un but de prévention spéciale. Tout bien considéré, cette part doit être arrêtée à 15 mois pour les deux peines. Il n’y a pas lieu à revoir la durée du délai d’épreuve retenu par les premiers juges, celle-ci devant être fixée à trois ans. IV. Appel de [...]F.________ , [...]F.________ et [...]F.________ 1. 1.1 Les appelants soutiennent en premier lieu que le montant du préjudice résultant des infractions s’élèverait à 322'442 fr. Ce point a déjà été traité dans le cadre de l’appel du Ministère public et il convient de se référer aux considérants y relatifs. Le résultat de l’appréciation des preuves conduit à une admission partielle des griefs. Les intimés doivent ainsi être reconnus débiteurs solidaires des appelants d’un montant de 231'796 fr., avec intérêts à 5 % l’an dès le 31 octobre 2013. 2.2.1 Les appelants s’opposent également à la dévolution à l’Etat des biens séquestrés ou inventoriés sous fiches n° 2277 et 6002. Ils font valoir que toutes les conditions de l’art. 73 CP sont réunies pour que les biens leur soient alloués. En particulier, ils déclarent avoir cédé inconditionnellement à l’Etat une part correspondant à leur créance. 2.2.2 L'art. 73 al. 1 let. b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L'allocation au lésé est une mesure destinée à faciliter l'indemnisation de celui-ci. Le droit pénal n'a en effet pas uniquement pour but de punir, mais également de permettre le rétablissement des droits des personnes touchées par une infraction (Baumann, in : Niggli/Wiprächtiger [éd.], Basler Kommentar, Strafrecht II, Art. 1-110 StGB, 3 e éd., Bâle 2013, n. 2 ad art. 73 CP). L'art. 73 CP se distingue de la restitution du produit de l'infraction au lésé au sens de l'art. 70 al 1 CP. Il ressort en effet de cette dernière disposition que si les valeurs patrimoniales acquises au moyen d'une infraction peuvent être clairement identifiées, il n'y a pas lieu de les confisquer, celles-ci pouvant être restituées directement au lésé. L'art. 73 CP n'est alors pas applicable. Par contre, si une confiscation au sens de l'art. 70 al. 1 CP est prononcée, et si les valeurs confisquées ne peuvent être restituées au lésé - faute pour celui-ci d'avoir conservé son droit de propriété ou un autre droit réel ou à défaut de suivi évident - les valeurs patrimoniales confisquées conformément à l'art. 70 al. 1 CP peuvent encore être attribuées à ce lésé après leur confiscation au sens de l'art. 73 CP, lequel ne s'applique ainsi qu'à titre subsidiaire par rapport à l'art. 70 al. 1 in fine CP (Hirsig-Vouilloz, in : Roth/Moreillon [éd.], Commentaire romand, Code pénal I, Art. 1-110 CP, Bâle 2009, n.</w:t>
      </w:r>
    </w:p>
    <w:p>
      <w:r>
        <w:rPr>
          <w:b/>
        </w:rPr>
        <w:t>E. 6</w:t>
      </w:r>
    </w:p>
    <w:p>
      <w:r>
        <w:t>ad art. 73 CP). 2.2.3 En l’espèce, les objets séquestrés dont la dévolution est demandée par les appelants sont des parfums et un téléviseur, dont il est établi qu’ils ont été acquis par les fonds obtenus illicitement (jugement, p. 76). En outre, il est effectivement à craindre que les prévenus ne répareront pas le dommage causé, dès lors que le montant du préjudice est important et que leur situation financière est précaire. Enfin, les lésés ont effectivement cédés à l’Etat la part correspondante de leur créance, ainsi que cela résulte des conclusions écrites déposées à l’audience de première instance par les hoirs (P. 158). Les objets séquestrés sous fiches n° 2277 et 6002 donc être alloués aux parties civiles, solidairement entre elles. V. Les détentions subies depuis le jugement de première instance seront déduites (art. 51 CP). Sachant que R.________ a été détenue 366 jours jusqu’à l’audience de première instance et 98 jours depuis lors, sa mise en liberté sera ordonnée pour autant que la prévenue ne soit pas détenue pour une autre cause. Le maintien en détention d’K.________ pour des motifs de sûreté sera ordonné afin de garantir l’exécution du jugement, vu l’évident risque de fuite présenté par un étranger n’ayant pas d’attaches suffisantes avec la Suisse (art. 221 al. 1 let. a CPP). VI. En définitive, l’appel du Ministère public et celui des parties civiles sont partiellement admis et le jugement attaqué réformé dans la mesure déjà exposée. Vu l'issue des causes déférées en appel, les frais d'appel seront mis par moitié à la charge d’K.________ et par moitié à la charge de R.________, laquelle succombe sur ses conclusions libératoires nonobstant sa libération immédiate (art. 428 al. 1 CPP). Outre l'émolument (art. 21 al. 1 et 2 TFIP [Tarif des frais de procédure et indemnités en matière pénale du 28 septembre 2010; RSV 312.03.1]), ces frais comprennent les indemnité allouées aux défenseurs d'office des prévenus (art. 422 al. 1 et 2 let. a CPP). L’indemnité de chacun des défenseurs d’office sera fixée à 3'942 fr., débours et TVA compris, compte tenu, pour chaque mandataire, d’une durée d’activité de 18 heures à 180 fr. l’heure, plus trois indemnités de déplacement à 120 fr. et 50 fr. de débours, TVA en plus. Les prévenus ne seront tenus de rembourser les indemnités ci-dessus mises à leur charge que lorsque leur situation financière le permettra. Les parties civiles, qui obtiennent dans une large mesure gain de cause sur leurs conclusions, ont été représentées par un conseil de choix. Elles ont requis une indemnité pour les dépenses occasionnées par l'exercice raisonnable de leurs droits de procédure. Cette prétention a été chiffrée et justifiée conformément aux exigences de l’art. 433 al. 2, 1 re phrase, CPP. Elle doit être allouée, à raison de 2'731 fr. 30, à [...], [...] et [...]F.________, solidairement entre eux, à la charge d’K.________ et de R.________,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