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54 vom 9. Oktober 2014</w:t>
      </w:r>
    </w:p>
    <w:p>
      <w:r>
        <w:t>VD Tribunal cantonal, 2014-10-09, FR</w:t>
      </w:r>
    </w:p>
    <w:p>
      <w:r>
        <w:rPr>
          <w:b/>
        </w:rPr>
        <w:t xml:space="preserve">Quelle: </w:t>
      </w:r>
      <w:r>
        <w:t>https://mcp.opencaselaw.ch/entscheid/vd_findinfo_Jug___2015___54</w:t>
      </w:r>
    </w:p>
    <w:p>
      <w:r>
        <w:t>FR: VD_FINDINFO Jug / 2015 / 54 du 9 octobre 2014</w:t>
      </w:r>
    </w:p>
    <w:p>
      <w:r>
        <w:t>IT: VD_FINDINFO Jug / 2015 / 54 del 9 ottobre 2014</w:t>
      </w:r>
    </w:p>
    <w:p>
      <w:pPr>
        <w:pStyle w:val="Heading2"/>
      </w:pPr>
      <w:r>
        <w:t>Regeste</w:t>
      </w:r>
    </w:p>
    <w:p>
      <w:r>
        <w:t>JUGEMENT PAR DÉFAUT, DÉFAUT{CONTUMACE}, DROIT D'ÊTRE ENTENDU | 3 al. 2 let. c CPP (CH), 367 al. 1 CPP (CH), 368 al. 3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dans les formes contre un jugement d’un tribunal de première instance ayant clos la procédure (art. 398 al. 1 CPP), l’appel est recevable.</w:t>
      </w:r>
    </w:p>
    <w:p>
      <w:r>
        <w:rPr>
          <w:b/>
        </w:rPr>
        <w:t>E. 1.2</w:t>
      </w:r>
    </w:p>
    <w:p>
      <w:r>
        <w:t>La procédure écrite est applicable, les conditions de l’art. 406 al. 2 let. b CPP étant réalisées et les parties ayant donné leur accord.</w:t>
      </w:r>
    </w:p>
    <w:p>
      <w:r>
        <w:rPr>
          <w:b/>
        </w:rPr>
        <w:t>E. 1.3</w:t>
      </w:r>
    </w:p>
    <w:p>
      <w:r>
        <w:t>L’appel concernant une contravention, la cause est de la compétence d'un membre de la cour d'appel statuant comme juge unique (art. 14 al. 3 LVCPP [Loi d'introduction du Code de procédure pénale suisse du 19 mai 2009, RSV 312.01]).</w:t>
      </w:r>
    </w:p>
    <w:p>
      <w:r>
        <w:rPr>
          <w:b/>
        </w:rPr>
        <w:t>E. 2</w:t>
      </w:r>
    </w:p>
    <w:p>
      <w:r>
        <w:t>et 3 ad art. 371 CPP). Toutefois, Thomas Maurer (Basler Kommentar, 2 e ed., Bâle 2014, nn. 16 et 17 ad art. 368 CPP) est d’avis que le recours pénal est ouvert contre le refus de nouveau jugement, alors que l’appel serait ouvert au Ministère public et au plaignant contre l’octroi d’un nouveau jugement. On peut toutefois se dispenser de trancher définitivement la question de la voie de droit, dès lors que B.________ n’a pas recouru à la Chambre des recours pénale et que, comme on le verra ci-dessous, le refus de nouveau jugement était bien fondé, ce que la cour d’appel peut constater incidemment. Conformément à l'art. 368 al. 3 CPP, le tribunal rejette la demande de nouveau jugement lorsque le condamné, dûment cité, fait défaut aux débats sans excuse valable. Nonobstant les termes "sans excuse valable", c'est bien une absence fautive du condamné qui permet au tribunal de rejeter la demande de nouveau jugement (Maurer, op. cit., n.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 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précité,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 idem , § 92 et les arrêts cités, en particulier arrêt de la CourEDH Poitrimol contre France du 23 novembre 1993, série A vol. 277 A § 35). Dès lors, la Cour européenne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contre Suisse du 14 juin 2001, Recueil CourEDH 2001-VI § 55 ss et Sejdovic, précité, § 105 ss, a contrario ).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précité, § 88 et les arrêts cités; cf. ég. TF 6B_268/2011 du 19 juillet 2011 c. 1.1 et 6B_860/2008 du 10 juillet 2009 c. 4.1).</w:t>
      </w:r>
    </w:p>
    <w:p>
      <w:r>
        <w:rPr>
          <w:b/>
        </w:rPr>
        <w:t>E. 2.1</w:t>
      </w:r>
    </w:p>
    <w:p>
      <w:r>
        <w:t>Dans la procédure pénale fédérale, on peut déduire a contrario de l'art. 371 al. 2 CPP que la voie de l'appel est ouverte contre le rejet de la demande de nouveau jugement. La doctrine confirme que le rejet de nouveau jugement est en effet un nouveau jugement susceptible d'appel (Thalmann, in : Commentaire romand, Code de procédure pénale suisse, Bâle 2011, nn.</w:t>
      </w:r>
    </w:p>
    <w:p>
      <w:r>
        <w:rPr>
          <w:b/>
        </w:rPr>
        <w:t>E. 2.2</w:t>
      </w:r>
    </w:p>
    <w:p>
      <w:r>
        <w:t>En l’espèce, l’absence d’excuse valable résulte, selon le tribunal de première instance, du refus express du prévenu de produire un certificat médical établissant son incapacité spécifique à comparaître en audience, celle-ci n’étant pas identique ou assimilable à l’incapacité de travail qu’il a prouvée. La distinction faite à ce sujet par le premier juge était parfaitement fondée et dépourvue de tout arbitraire ou formalisme tant il est manifeste que, selon les atteintes à la santé en cause, la difficulté éprouvée à se rendre à une audience et à y participer durant une heure environ ne se confond pas avec l’impossibilité médicale d’exercer une activité lucrative, les efforts, ainsi que la mobilisation du corps et de l’esprit qu’ils impliquent, n’étant pas les mêmes. Au demeurant, l’art. 144 CPP prévoit la possibilité d’entendre par vidéoconférence la personne se trouvant dans l’impossibilité de comparaître personnellement. Rien n’empêchait donc B.________ d’obtenir de son médecin un certificat médical se prononçant précisément sur la question de la comparution personnelle à l’audience du 18 septembre 2014. C’est donc à bon droit qu’a été retenue l’absence d’excuse valable. A supposer que le refus de nouveau jugement puisse être attaqué dans l’appel (c. 2.1 supra ), la solution du premier juge devrait ainsi être confirmée et le prononcé du 21 octobre 2014 maintenu. Cela étant, il faut aussi examiner si l’appelant a bénéficié d’une procédure par défaut respectant son droit à ne pas être privé de l'assistance d'un avocat. On constate à cet égard que la procédure suivie n’était pas conforme à la procédure par défaut des art. 366 et 367 CPP. Le premier juge et les conseils sont manifestement partis de l’idée qu’un certificat médical justifiant le défaut serait produit. En effet, le défenseur du prévenu a été dispensé de la suite des débats (jugt, p. 5 in fine ), si bien que la cause n’a pas été instruite, dans l’hypothèse où en définitive un jugement par défaut devrait être rendu, que la plaignante et le défenseur du prévenu n’ont pas été autorisés à plaider, contrairement à ce que prévoit l’art. 367 al. 1 CPP, que des conclusions en réparation morale et en dépens ont été prises contre le prévenu après le départ du défenseur et que celle en dépens a été allouée dans le jugement par défaut, ce qui constitue une violation du droit d’être entendu (art. 3 al. 2 let. c CPP). La violation du droit d’être entendu et de la procédure par défaut garantissant au défaillant un droit à l’instruction et à la défense constitue un vice procédural important auquel il est impossible de remédier en procédure d’appel et qui impose donc l’annulation du jugement par défaut en application de l’art. 409 CPP, sans qu'il soit nécessaire d'examiner les autres griefs soulevés par l’appelant</w:t>
      </w:r>
    </w:p>
    <w:p>
      <w:r>
        <w:rPr>
          <w:b/>
        </w:rPr>
        <w:t>E. 3</w:t>
      </w:r>
    </w:p>
    <w:p>
      <w:r>
        <w:t>Il s'ensuit que l'appel doit être admis, le jugement rendu le 9 octobre 2014 par le Tribunal de police de l'arrondissement de l’Est vaudois annulé et la cause renvoyée à cette autorité pour fixation de nouveaux débats au sens de l’art. 366 al. 2 CPP. Vu l’issue de la cause, les frais doivent être laissés à la charge de l’Etat (art. 428 al. 4 CPP). Il y a lieu d’allouer à chacune des parties une indemnité pour les dépenses occasionnées par la procédure d’un montant de 750 fr., correspondant à 3 heures au tarif horaire de 250 fr. (art. 26a TFIP [Tarif des frais de procédure et indemnités en matière pénale du 28 septembre 2010 ; RS 312.03.1]), soit le temps consacré par leurs avocats à l’audience de jugement (28 minutes pour les deux audiences) et aux écritures de l’appel (estimé à 2h30), montant auquel s’ajoute la TVA, par 60 fr., soit un total de 810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