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481 vom 25. Februar 2014</w:t>
      </w:r>
    </w:p>
    <w:p>
      <w:r>
        <w:t>VD Tribunal cantonal, 2014-02-25, FR</w:t>
      </w:r>
    </w:p>
    <w:p>
      <w:r>
        <w:rPr>
          <w:b/>
        </w:rPr>
        <w:t xml:space="preserve">Quelle: </w:t>
      </w:r>
      <w:r>
        <w:t>https://mcp.opencaselaw.ch/entscheid/vd_findinfo_Jug___2015___481</w:t>
      </w:r>
    </w:p>
    <w:p>
      <w:r>
        <w:t>FR: VD_FINDINFO Jug / 2015 / 481 du 25 février 2014</w:t>
      </w:r>
    </w:p>
    <w:p>
      <w:r>
        <w:t>IT: VD_FINDINFO Jug / 2015 / 481 del 25 febbraio 2014</w:t>
      </w:r>
    </w:p>
    <w:p>
      <w:pPr>
        <w:pStyle w:val="Heading2"/>
      </w:pPr>
      <w:r>
        <w:t>Regeste</w:t>
      </w:r>
    </w:p>
    <w:p>
      <w:r>
        <w:t>TRIBUNAL FÉDÉRAL, ESCROQUERIE, FIXATION DE LA PEINE, SURSIS À L'EXÉCUTION DE LA PEINE, RETOUR | 146 al. 1 CP, 42 CP, 43 al. 1 CP, 44 al. 1 CP, 47 CP, 107 al. 2 LTF</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Commentaire de la LTF, Berne 2009, ch. 27 ad art. 107 LTF).</w:t>
      </w:r>
    </w:p>
    <w:p>
      <w:r>
        <w:rPr>
          <w:b/>
        </w:rPr>
        <w:t>E. 2</w:t>
      </w:r>
    </w:p>
    <w:p>
      <w:r>
        <w:t>Dans son arrêt du 28 août 2015, le Tribunal fédéral a considéré que l’infraction d’escroquerie commise par V.________ ne pouvait pas porter sur la période allant du 1 er janvier 2009 au 28 octobre 2010, car il ne résultait pas de l’état de fait qu’un comportement actif de tromperie, respectivement qu’un comportement passif de tromperie malgré une position de garant, pouvait être retenu avant le 14 juin 2010, date à laquelle le prévenu avait affirmé n’avoir pas d’autres activités que celle de coffreur. Ainsi, l’appelant doit être acquitté pour la période du 1 er janvier 2009 au 14 juin 2010.</w:t>
      </w:r>
    </w:p>
    <w:p>
      <w:r>
        <w:rPr>
          <w:b/>
        </w:rPr>
        <w:t>E. 3</w:t>
      </w:r>
    </w:p>
    <w:p>
      <w:r>
        <w:t>Par ailleurs, le Tribunal fédéral a considéré que pour la période du 15 juin au 28 octobre 2010, il n’était pas établi en quoi et dans quelle quotité la tromperie du prévenu aurait faussé le résultat des calculs de l’Office AI et qu’il incombait par conséquent à l’autorité de céans de compléter l’état de fait et rendre une nouvelle décision.</w:t>
      </w:r>
    </w:p>
    <w:p>
      <w:r>
        <w:rPr>
          <w:b/>
        </w:rPr>
        <w:t>E. 3.1</w:t>
      </w:r>
    </w:p>
    <w:p>
      <w:r>
        <w:t>Aux termes de l’art. 146 al.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Sur le plan objectif, l’escroquerie suppose d’abord une tromperie, qui peut consister soit à induire la victime en erreur, par des affirmations fallacieuses ou par la dissimulation de faits vrais, soit à conforter la victime dans son erreur, en lui montrant, par des paroles ou par des actes, qu’elle est dans le vrai, alors qu’en réalité elle se trompe. Il faut en outre que la tromperie ait été astucieuse. L’astuce est réalisée non seulement lorsque l’auteur recourt à un édifice de mensonges, à des manœuvres frauduleuses ou à une mise en scène, mais aussi lorsqu’il se borne à donner de fausses informations dont la vérification n’est pas possible, ne l’est que difficilement ou ne peut raisonnablement être exigée, de même que si l’auteur dissuade la dupe de vérifier ou prévoit, en fonction des circonstances, qu’elle renoncera à le faire, par exemple en raison d’un rapport de confiance particulier (ATF 133 IV 256 consid. 4.4.3 ; ATF 128 IV 18 consid. 3a). Tel est notamment le cas si l’auteur conclut un contrat en ayant d’emblée l’intention de ne pas fournir sa prestation alors que son intention n’était pas décelable (ATF 118 IV 359 consid. 2), s’il exploite un rapport de confiance préexistant qui dissuade la dupe de vérifier (ATF 122 IV 246 consid. 3a) ou encore si la dupe, en raison de sa situation personnelle (faiblesse d’esprit, inexpérience, grand âge ou maladie), n’est pas en mesure de procéder à une vérification et que l’auteur exploite cette situation (ATF 120 IV 186 consid. 1a).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L’astuce n’est exclue que lorsque la dupe est coresponsable du dommage parce qu’elle n’a pas observé les mesures de prudence élémentaires qui s’imposaient (ATF 128 IV 18 consid. 3a). Du point de vue subjectif, l’auteur doit avoir agi intentionnellement et dans un dessein d’enrichissement illégitime. Cet enrichissement, de l’auteur lui-même ou d’un tiers, est en général le pendant de l’appauvrissement de la victime et peut donc aussi être déduit de l’intention de causer un préjudice à la victime (ATF 119 IV 210 consid. 4b).</w:t>
      </w:r>
    </w:p>
    <w:p>
      <w:r>
        <w:rPr>
          <w:b/>
        </w:rPr>
        <w:t>E. 3.2</w:t>
      </w:r>
    </w:p>
    <w:p>
      <w:r>
        <w:t>En l’espèce, il résulte de l’instruction que le prévenu a dissimulé des revenus à l’Office AI. C’est en vain qu’il fait valoir qu’il a utilisé ces revenus pour les injecter dans sa société de coffrage : il n’en demeure pas moins qu’ils devaient être annoncés. Par cette tromperie, il a obtenu une demi-rente d’invalidité, alors qu’il n’aurait eu droit, sans elle, qu’à un quart de rente. Pour la période litigieuse, le préjudice de l’Office AI a atteint 2'875 fr. 50. Les tromperies astucieuses de l’appelant ayant bien faussé le résultat des calculs de l’Office AI, les conditions de l’escroquerie sont donc réalisées.</w:t>
      </w:r>
    </w:p>
    <w:p>
      <w:r>
        <w:rPr>
          <w:b/>
        </w:rPr>
        <w:t>E. 4</w:t>
      </w:r>
    </w:p>
    <w:p>
      <w:r>
        <w:t>Il convient ensuite d’examiner la quotité de la peine, l’appelant étant libéré de l’accusation d’escroquerie pour la période du 1 er janvier 2009 au 14 juin 2010.</w:t>
      </w:r>
    </w:p>
    <w:p>
      <w:r>
        <w:rPr>
          <w:b/>
        </w:rPr>
        <w:t>E. 4.1.1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129 IV 6 consid. 6.1).</w:t>
      </w:r>
    </w:p>
    <w:p>
      <w:r>
        <w:rPr>
          <w:b/>
        </w:rPr>
        <w:t>E. 4.1.2</w:t>
      </w:r>
    </w:p>
    <w:p>
      <w:r>
        <w:t>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L’art. 43 al. 1 CP dispose que le juge peut suspendre partiellement l’exécution d’une peine pécuniaire, d’un travail d’intérêt général ou d’une peine pécuniaire d’un an au moins et de trois ans au plus afin de tenir compte de façon appropriée de la faute de l’auteur. De jurisprudence constante, les conditions subjectives auxquelles l'art. 42 CP soumet l'octroi du sursis intégral s'appliquent également à l'octroi du sursis partiel prévu à l’art. 43 CP (ATF 134 IV 1 consid. 5.3.1 ; cf. aussi TF 6B_664/2007 du 18 janvier 2008 consid. 3.2.1 ; TF 6B_353/2008 du 30 mai 2008 consid. 2.3). Sur le plan subjectif, le juge doit poser, pour l'octroi du sursis, un pronostic quant au comportement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Le sursis est désormais la règle dont on ne peut s'écarter qu'en présence d'un pronostic défavorable. Il prime en cas d'incertitude (TF 6B_492/2008 du 19 mai 2009 consid. 3.1.2 ; ATF 134 IV 1 consid. 4.2.2). Selon l’art. 44 al. 1 CP, si le juge suspend totalement ou partiellement l’exécution de la peine, il impartit au condamné un délai d’épreuve de deux à cinq ans.</w:t>
      </w:r>
    </w:p>
    <w:p>
      <w:r>
        <w:rPr>
          <w:b/>
        </w:rPr>
        <w:t>E. 4.2</w:t>
      </w:r>
    </w:p>
    <w:p>
      <w:r>
        <w:t>En l’espèce, la culpabilité de V.________ n’est pas anodine. Le prévenu s’est rendu coupable d’escroquerie, de diminution effective de l’actif au préjudice des créanciers, de voies de fait, d’injure, de pornographie, d’inobservation des prescriptions légales sur la comptabilité, d’infraction à la Loi fédérale sur les étrangers, de contravention à la Loi fédérale sur l’assurance vieillesse et survivants et de conduite en état d’ébriété qualifiée. A décharge, il faut tenir compte du fait que l’escroquerie reprochée porte désormais sur une période de quatre mois et demi seulement, que les infractions commises remontent à trois ans et que depuis cela l’appelant a adopté un bon comportement. Enfin, on notera que sa femme et lui travaillent et ont une vie stable. Au vu de tous ces éléments, c’est donc une peine privative de liberté de 6 mois et non de 8 mois et demi ainsi que 15 jours-amende à 30 fr. le jour et une amende de 2’000 fr. qui doit être prononcée à l’encontre du prévenu. Concernant l’octroi d’un sursis, le pronostic quant au comportement futur du prévenu n’étant pas défavorable au vu des éléments précités, ce dernier peut ainsi être mis au bénéfice de cette mesure de clémence. Toutefois, la durée du délai d’épreuve sera fixée au maximum légal.</w:t>
      </w:r>
    </w:p>
    <w:p>
      <w:r>
        <w:rPr>
          <w:b/>
        </w:rPr>
        <w:t>E. 5</w:t>
      </w:r>
    </w:p>
    <w:p>
      <w:r>
        <w:t>En définitive, l’appel de V.________ doit être partiellement admis et le jugement entrepris modifié en ce sens que le prévenu est condamné à une peine privative de liberté de 6 mois avec sursis pendant cinq ans, à 15 jours-amende à 30 fr. le jour et à 2'000 fr. d’amende.</w:t>
      </w:r>
    </w:p>
    <w:p>
      <w:r>
        <w:rPr>
          <w:b/>
        </w:rPr>
        <w:t>E. 5.1</w:t>
      </w:r>
    </w:p>
    <w:p>
      <w:r>
        <w:t>Vu l'issue de la cause, les frais d'appel antérieurs à l’arrêt du Tribunal fédéral du 28 août 2015, par 4'697 fr. 60, y compris l’indemnité allouée au défenseur d’office de V.________, par 2'127 fr. 60, seront mis par neuf dixièmes à la charge de ce dernier, le solde étant laissé à la charge de l’Etat. Les frais d’appel postérieurs à l’arrêt du Tribunal fédéral du 28 août 2015, par 2'517 fr. 20, y compris l’indemnité allouée au défenseur d’office de l’appelant, qui doit être arrêtée à 907 fr. 20, TVA incluse (soit 4 heures d’activité au tarif horaire de 180 fr. ainsi qu’une vacation à 120 fr.), seront laissés à la charge de l’Etat. V.________ ne sera tenu de rembourser à l’Etat les neuf dixièmes du montant de l’indemnité en faveur de son défenseur d’office, par 2'127 fr. 60,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