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469 vom 5. Mai 2015</w:t>
      </w:r>
    </w:p>
    <w:p>
      <w:r>
        <w:t>VD Tribunal cantonal, 2015-05-05, FR</w:t>
      </w:r>
    </w:p>
    <w:p>
      <w:r>
        <w:rPr>
          <w:b/>
        </w:rPr>
        <w:t xml:space="preserve">Quelle: </w:t>
      </w:r>
      <w:r>
        <w:t>https://mcp.opencaselaw.ch/entscheid/vd_findinfo_Jug___2015___469</w:t>
      </w:r>
    </w:p>
    <w:p>
      <w:r>
        <w:t>FR: VD_FINDINFO Jug / 2015 / 469 du 5 mai 2015</w:t>
      </w:r>
    </w:p>
    <w:p>
      <w:r>
        <w:t>IT: VD_FINDINFO Jug / 2015 / 469 del 5 maggio 2015</w:t>
      </w:r>
    </w:p>
    <w:p>
      <w:pPr>
        <w:pStyle w:val="Heading2"/>
      </w:pPr>
      <w:r>
        <w:t>Regeste</w:t>
      </w:r>
    </w:p>
    <w:p>
      <w:r>
        <w:t>FIXATION DE LA PEINE, CONSTATATION DES FAITS, DROIT D'ÊTRE ENTENDU, VIOL, CONTRAINTE SEXUELLE | 189 CP, 190 CP, 47 CP, 29 al. 2 Cst., 398 al. 3 let. b CPP (CH), 9 CPP (CH)</w:t>
      </w:r>
    </w:p>
    <w:p>
      <w:pPr>
        <w:pStyle w:val="Heading2"/>
      </w:pPr>
      <w:r>
        <w:t>Erwägungen</w:t>
      </w:r>
    </w:p>
    <w:p>
      <w:r>
        <w:rPr>
          <w:b/>
        </w:rPr>
        <w:t>E. 1.1</w:t>
      </w:r>
    </w:p>
    <w:p>
      <w:r>
        <w:t>La qualité pour former appel est définie à l’art. 382 CPP disposition générique en matière de qualité pour recourir. Selon cette norme, toute partie qui a un intérêt juridiquement protégé à l’annulation ou à la modification d’une décision a qualité pour recourir contre celle-ci (al. 1). La partie plaignante ne peut pas interjeter recours sur la question de la peine ou de la mesure prononcée (al. 2).</w:t>
      </w:r>
    </w:p>
    <w:p>
      <w:r>
        <w:rPr>
          <w:b/>
        </w:rPr>
        <w:t>E. 1.2</w:t>
      </w:r>
    </w:p>
    <w:p>
      <w:r>
        <w:t>Interjetés dans les formes et délais légaux (art. 399 CPP) par des parties ayant la qualité pour recourir contre le jugement d’un tribunal de première instance ayant clos la procédure (art. 398 al. 1 CPP), l’appel d’A.________ ainsi que les appels joints du Ministère public et de S.________ sont recevables. En revanche, la conclusion de l’appel joint de la plaignante qui tend à une aggravation de la peine infligée au prévenu est irrecevable (art. 382 al. 2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 3.1 et la doctrine citée). I. L’appel d’A.________</w:t>
      </w:r>
    </w:p>
    <w:p>
      <w:r>
        <w:rPr>
          <w:b/>
        </w:rPr>
        <w:t>E. 3</w:t>
      </w:r>
    </w:p>
    <w:p>
      <w:r>
        <w:t>L’appelant soutient que les premiers juges auraient méconnu des faits importants.</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w:t>
      </w:r>
    </w:p>
    <w:p>
      <w:r>
        <w:rPr>
          <w:b/>
        </w:rPr>
        <w:t>E. 3.2.1</w:t>
      </w:r>
    </w:p>
    <w:p>
      <w:r>
        <w:t>L’appelant estime que les premiers juges n’ont pas tenu compte de la personnalité de la victime, notamment de ses séjours en hôpital psychiatrique. En l’espèce, ce grief est infondé, car sur la base de la pièce 16 du dossier d’instruction, le jugement retient expressément une hospitalisation à l’Hôpital psychiatrique de Prangins comme une conséquence de l’agression. Du reste, on peine à comprendre quel argument l’appelant tente de tirer de ce grief.</w:t>
      </w:r>
    </w:p>
    <w:p>
      <w:r>
        <w:rPr>
          <w:b/>
        </w:rPr>
        <w:t>E. 3.2.2</w:t>
      </w:r>
    </w:p>
    <w:p>
      <w:r>
        <w:t>L’appelant reproche, sans étayer son propos, au tribunal correctionnel d’avoir méconnu les déclarations enregistrées de la victime. En l’espèce, rien dans le jugement ne laisse penser que les déclarations de la victime n’ont pas été prises en compte par les premiers juges.</w:t>
      </w:r>
    </w:p>
    <w:p>
      <w:r>
        <w:rPr>
          <w:b/>
        </w:rPr>
        <w:t>E. 3.2.3</w:t>
      </w:r>
    </w:p>
    <w:p>
      <w:r>
        <w:t>L’appelant se plaint ensuite de ce que le tribunal n’a pas tenu compte des différences culturelles entre son pays et le nôtre. Il critique également l’interprétation des déclarations ténorisées par le truchement d’un interprète au motif que le mot « fellation » n’existerait pas en langue arabe. En l’espèce, lorsqu’il a été interrogé sur la fellation, l’appelant s’est contredit, mais n’a pas laissé apparaitre d’incompréhension par rapport au sens de ce terme, se limitant à déclarer qu’il avait peut-être oublié d’en parler la première fois, puis qu’il y en avait eu une, puis que non, puis qu’il avait oublié s’il y avait eu fellation ou pas (PV aud. 2, p. 5 avant-dernier paragraphe ; PV aud. 5, lignes 101 ; PV aud. 7, lignes 113-117). Le grief est donc infondé.</w:t>
      </w:r>
    </w:p>
    <w:p>
      <w:r>
        <w:rPr>
          <w:b/>
        </w:rPr>
        <w:t>E. 3.2.4</w:t>
      </w:r>
    </w:p>
    <w:p>
      <w:r>
        <w:t>L’appelant soutient qu’il est aisé de le faire se contredire avec le concours d’un interprète en raison de la complexité de la langue arabe. L’appelant a toujours été clair dans ses déclarations et il l’a aussi été lorsqu’il s’est contredit notamment sur la fellation oubliée, sur la pénétration anale contestée puis admise et sur un couteau qu’aurait détenu la victime (PV aud. 5, lignes 108-123). Le grief doit donc être rejeté.</w:t>
      </w:r>
    </w:p>
    <w:p>
      <w:r>
        <w:rPr>
          <w:b/>
        </w:rPr>
        <w:t>E. 3.2.5</w:t>
      </w:r>
    </w:p>
    <w:p>
      <w:r>
        <w:t>L’appelant se livre à une interprétation de l’état d’esprit de la victime au moment des faits et affirme qu’il serait notoire que les femmes marocaines se plaignent souvent de violences domestiques qu’elles n’oseraient pas dénoncer. Il soutient en outre que la plaignante pourrait s’estimer disposer d’un pouvoir mystique de rendre justice en dénonçant un compatriote. En l’espèce, les considérations du prévenu ne reposent sur aucun élément concret et n’engagent que lui. Ces affirmations ne constituent pas un grief admissible à l’égard du jugement, qui s’est fondé sur les éléments du dossier et non sur des considérations relevant de la pure fantaisie. On ne discerne par ailleurs aucun élément dans l’écriture d’appel qui permettrait d’arriver à la conclusion que l’appelant n’a pas eu droit à un procès équitable. Le grief est dès lors infondé.</w:t>
      </w:r>
    </w:p>
    <w:p>
      <w:r>
        <w:rPr>
          <w:b/>
        </w:rPr>
        <w:t>E. 3.2.6</w:t>
      </w:r>
    </w:p>
    <w:p>
      <w:r>
        <w:t>L’appelant reproche aux premiers juges de ne pas s’être attardés sur le fait de savoir qui de lui ou de la plaignante connaissait l’emplacement de la caravane et lequel des deux avait eu l’idée d’y aller. Il estime qu’il y aurait plus d’indices allant dans le sens que c’est la plaignante qui l’y aurait amené plutôt que dans le sens retenu par le tribunal. En l’espèce, le jugement explique, certes lapidairement mais de façon compréhensible, que c’est en raison de ses propres contradictions que la version de l’appelant n’a pas été suivie sur ce point (jgt., p.15). Il est vrai qu’A.________ a donné des explications fluctuantes sur ce point aussi : « elle m’a dit qu’elle n’avait pas d’endroit pour dormir mais qu’elle connaissait une caravane » (PV aud. 5, lignes 78-79), puis « Je lui ai demandé si elle avait un endroit où dormir. Elle m’a répondu qu’elle avait une place à Prilly-Malley. Vous me demandez si je parle du Sleep-in. C’était dans une caravane. Elle m’a proposé d’aller dans cette caravane pour y dormir. Elle m’a dit que c’était chez elle. Précisément, elle m’a dit : je t’emmène dans un endroit à moi. » (PV aud. 7, lignes 62-65). La première déclaration souligne que la plaignante n’avait pas d’endroit pour dormir alors que la seconde laisse penser qu’elle habitait dans cette caravane. Quoi qu’il en soit, ce qui est reproché à l’appelant, c’est de s’être rendu coupable de viol et de contrainte sexuelle une fois dans la caravane et non d’en avoir connu l’emplacement. Le grief doit donc être rejeté.</w:t>
      </w:r>
    </w:p>
    <w:p>
      <w:r>
        <w:rPr>
          <w:b/>
        </w:rPr>
        <w:t>E. 3.2.7</w:t>
      </w:r>
    </w:p>
    <w:p>
      <w:r>
        <w:t>L’appelant fait valoir que la plaignante aurait exagéré dans la description des violences et dans ses déclarations. En l’espèce, le tribunal s’est fondé sur les constatations médicales figurant au dossier selon lesquelles les lésions observées sont compatibles avec le mécanisme proposé par la victime (P. 16). Les lésions observées figurent dans ce rapport et il y est expliqué que les ecchymoses et tuméfactions constatées trois jours et demi après les faits peuvent être la conséquence de coups portés, de chocs ou de pressions locales fortes (P. 16, p.3-4). La conviction des premiers juges rejoint ainsi les constatations médicales. Par contre, l’explication de l’appelant, selon lequel les parties ont entretenu « simplement » un « rapport sexuel intense qui a pu conduire à  quelques marques sur le corps » ne permet pas de comprendre la survenance en particulier de la tuméfaction du nez. Surtout qu’en cours d’enquête, il a déclaré qu’ils avaient eu « une relation sexuelle comme tout le monde » (PV aud. 7, ligne 110). Sa version est donc incompatible avec les lésions subies par la plaignante, de sorte que c’est à raison que le tribunal a écarté ses déclarations. Son grief est encore mal fondé.</w:t>
      </w:r>
    </w:p>
    <w:p>
      <w:r>
        <w:rPr>
          <w:b/>
        </w:rPr>
        <w:t>E. 3.2.8</w:t>
      </w:r>
    </w:p>
    <w:p>
      <w:r>
        <w:t>L’appelant soutient que les premiers juges auraient dû tenir compte du temps que la plaignante et lui ont passé ensemble. En l’espèce, l’intéressé rediscute à nouveau librement les faits sur la base de ce qu’il semble estimer être l’expérience générale de la vie. Ce grief est lui aussi inconsistant.</w:t>
      </w:r>
    </w:p>
    <w:p>
      <w:r>
        <w:rPr>
          <w:b/>
        </w:rPr>
        <w:t>E. 4</w:t>
      </w:r>
    </w:p>
    <w:p>
      <w:r>
        <w:t>L’appelant reproche aux premiers juges d’avoir violé son droit d’être entendu en refusant de réentendre un enregistrement.</w:t>
      </w:r>
    </w:p>
    <w:p>
      <w:r>
        <w:rPr>
          <w:b/>
        </w:rPr>
        <w:t>E. 4.1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 5.3 et les références citées).</w:t>
      </w:r>
    </w:p>
    <w:p>
      <w:r>
        <w:rPr>
          <w:b/>
        </w:rPr>
        <w:t>E. 4.2</w:t>
      </w:r>
    </w:p>
    <w:p>
      <w:r>
        <w:t>En l’espèce, la requête de l’appelant a fait l’objet d’une réquisition devant les premiers juges, qui l’ont rejetée au motif que cet enregistrement avait déjà été entendu par les parties et le tribunal (jgt., p. 9). L’appelant explique que l’audition de cet enregistrement est importante. Les premiers juges ont procédé à cette audition et l’appelant ne le conteste pas. Ce dernier n’a toutefois pas expliqué en quoi il aurait été indispensable de réentendre cet enregistrement une nouvelle fois en audience. Il n’y a donc aucun vice qui affecte le jugement pour ce motif. L’appelant n’a par ailleurs pas requis que cette bande soit entendue devant la Cour de céans. Il livre ensuite son sentiment sur les enregistrements de façon général, mais ne formule pas réellement d’argumentation. Tout au plus relève-t-il qu’il « n’est pas anodin qu’au cours d’une conversation avec la police, les protagonistes aient un rapport sexuel ». Si cette manière de l’appelant de présenter les faits est en effet étrange, on comprend mieux l’état de fait retenu par le tribunal, selon lequel S.________ est parvenue à composer le 117, ne parlant pas directement à son interlocuteur, mais laissant le téléphone portable allumé, afin que la personne au bout du fil puisse l’entendre et que l’appelant ne s’aperçoive pas qu’elle avait appelé la police. Infondé, le grief doit être rejeté. II. Appel joint de S.________</w:t>
      </w:r>
    </w:p>
    <w:p>
      <w:r>
        <w:rPr>
          <w:b/>
        </w:rPr>
        <w:t>E. 5</w:t>
      </w:r>
    </w:p>
    <w:p>
      <w:r>
        <w:t>L’appelante par voie de jonction fait valoir que les premiers juges auraient dû retenir les circonstances aggravantes des art. 189 al. 3 et 190 al. 3 CP à l’encontre du prévenu en lieu et place des art. 189 al. 1 et 190 al. 1 CP.</w:t>
      </w:r>
    </w:p>
    <w:p>
      <w:r>
        <w:rPr>
          <w:b/>
        </w:rPr>
        <w:t>E. 5.1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ainsi connaître exactement les faits qui lui sont imputés et les peines et mesures auxquelles il est exposé, afin qu'il puisse s'expliquer et préparer efficacement sa défense (ATF 126 I 19 consid. 2a ;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consid. 1.1).</w:t>
      </w:r>
    </w:p>
    <w:p>
      <w:r>
        <w:rPr>
          <w:b/>
        </w:rPr>
        <w:t>E. 5.2</w:t>
      </w:r>
    </w:p>
    <w:p>
      <w:r>
        <w:t>En l’espèce, A.________ n’a pas été mis en accusation pour contrainte sexuelle et viol aggravés, mais uniquement pour les infractions simples prévues aux art. 189 et 190 CP. Les premiers juges ne pouvaient pas retenir les  aggravantes dans leur jugement, aucune requête d’aggravation n’ayant été présentée  en audience. En outre, sans réaliser l’aggravante, la cruauté a expressément été prise en compte dans le jugement lors de la fixation de la peine (jgt, p.16). Le grief doit donc être rejeté. III. Appel joint du Ministère public</w:t>
      </w:r>
    </w:p>
    <w:p>
      <w:r>
        <w:rPr>
          <w:b/>
        </w:rPr>
        <w:t>E. 6</w:t>
      </w:r>
    </w:p>
    <w:p>
      <w:r>
        <w:t>Le Ministère public conteste la peine qui a été infligée au prévenu. Il estime qu’il s’agirait d’un cas limite qui se situerait sur l’échelon supérieur des viols et contraintes sexuelles dits « simples » et que c’est une peine privative de liberté de cinq ans qui devrait être prononcée.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6.2</w:t>
      </w:r>
    </w:p>
    <w:p>
      <w:r>
        <w:t>En l’espèce, A.________ s’est rendu coupable de viol en concours avec des actes de contrainte sexuelle. Ces infractions sont graves. Il a frappé, insulté et menacé sa victime pendant plus de deux heures et ce n’est que grâce à l’intervention de la police que ses actes ont pris fin. On retiendra encore qu’il a tenté par divers moyens de se disculper en se confondant en explications contradictoires et imprécises. A décharge, il sera tenu compte du fait qu’il était alcoolisé, ce qui a, quelque peu, diminué son seuil de contrôle. Malgré cela, sa culpabilité reste lourde. Ainsi, sur la base des éléments qui précèdent, une peine privative de liberté de quatre ans et six mois tel que fixée par les premiers juges réprime adéquatement les agissements d’A.________. Les griefs du Ministère public doivent ainsi être rejetés.</w:t>
      </w:r>
    </w:p>
    <w:p>
      <w:r>
        <w:rPr>
          <w:b/>
        </w:rPr>
        <w:t>E. 7</w:t>
      </w:r>
    </w:p>
    <w:p>
      <w:r>
        <w:t>En définitive, l’appel d’A.________ ainsi que les appels joints de S.________ et du Ministère public doivent être rejetés et le jugement entrepris entièrement confirmé.</w:t>
      </w:r>
    </w:p>
    <w:p>
      <w:r>
        <w:rPr>
          <w:b/>
        </w:rPr>
        <w:t>E. 7.1</w:t>
      </w:r>
    </w:p>
    <w:p>
      <w:r>
        <w:t>Me Pierre Charpié a produit une liste des opérations faisant état notamment de 30 heures d’activité débours inclus et de 420 fr. de déplacements (P. 134).  Compte tenu de la connaissance du dossier acquise en première instance et des opérations accomplies pour la défense des intérêts de son client, le temps consacré à la présente procédure est un peu trop élevé. Tout bien considéré, c’est une indemnité de 4'341 fr. 60 correspondant à 20 heures d’activité à 180 fr. et trois vacations et demie à 120 fr., plus la TVA, qui doit être allouée au défenseur d’office d’A.________ pour la procédure d’appel.</w:t>
      </w:r>
    </w:p>
    <w:p>
      <w:r>
        <w:rPr>
          <w:b/>
        </w:rPr>
        <w:t>E. 7.2</w:t>
      </w:r>
    </w:p>
    <w:p>
      <w:r>
        <w:t>L'indemnité de conseil d'office allouée pour la procédure d'appel à Me Astyanax Peca est fixée à 1'836 fr., TVA comprise, comprenant 8h30 d’activité, 50 fr. de débours et une vacation à 120 francs.</w:t>
      </w:r>
    </w:p>
    <w:p>
      <w:r>
        <w:rPr>
          <w:b/>
        </w:rPr>
        <w:t>E. 7.3</w:t>
      </w:r>
    </w:p>
    <w:p>
      <w:r>
        <w:t>Vu l’issue de la cause, les frais de la présente procédure, constitués de l’émolument de jugement, par 2’460 fr., et des indemnités d’avocat, doivent être mis par deux tiers à la charge d’A.________ (art. 428 al. 1 CPP). A.________ ne sera tenu de rembourser à l’Etat les deux tiers des indemnités en faveur de son défenseur d’office et du conseil d’office de S.________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