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462 vom 5. März 2015</w:t>
      </w:r>
    </w:p>
    <w:p>
      <w:r>
        <w:t>VD Tribunal cantonal, 2015-03-05, FR</w:t>
      </w:r>
    </w:p>
    <w:p>
      <w:r>
        <w:rPr>
          <w:b/>
        </w:rPr>
        <w:t xml:space="preserve">Quelle: </w:t>
      </w:r>
      <w:r>
        <w:t>https://mcp.opencaselaw.ch/entscheid/vd_findinfo_Jug___2015___462</w:t>
      </w:r>
    </w:p>
    <w:p>
      <w:r>
        <w:t>FR: VD_FINDINFO Jug / 2015 / 462 du 5 mars 2015</w:t>
      </w:r>
    </w:p>
    <w:p>
      <w:r>
        <w:t>IT: VD_FINDINFO Jug / 2015 / 462 del 5 marzo 2015</w:t>
      </w:r>
    </w:p>
    <w:p>
      <w:pPr>
        <w:pStyle w:val="Heading2"/>
      </w:pPr>
      <w:r>
        <w:t>Regeste</w:t>
      </w:r>
    </w:p>
    <w:p>
      <w:r>
        <w:t>PLAIGNANT, FRAIS DE LA PROCÉDURE, INDEMNITÉ{EN GÉNÉRAL}, ADMISSION DE LA DEMANDE | 398 al. 1 CPP (CH), 406 al. 1 let. d CPP (CH), 427 al. 2 CPP (CH), 432 CPP (CH)</w:t>
      </w:r>
    </w:p>
    <w:p>
      <w:pPr>
        <w:pStyle w:val="Heading2"/>
      </w:pPr>
      <w:r>
        <w:t>Erwägungen</w:t>
      </w:r>
    </w:p>
    <w:p>
      <w:r>
        <w:rPr>
          <w:b/>
        </w:rPr>
        <w:t>E. 1.1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La qualité pour former appel est définie à l’art. 382 CPP (Code de procédure pénale du 5 octobre 2007, RS 312.0), disposition générique en matière de qualité pour recourir. Selon cette norme, toute partie qui a un intérêt juridiquement protégé à l’annulation ou à la modification d’une décision a qualité pour recourir contre celle-ci (al. 1). L’intérêt doit être juridique et direct. Il se distingue de l’intérêt digne de protection qui n’est pas, lui, nécessairement juridique, mais qui peut aussi être un pur intérêt de fait, ce dernier n’étant pas suffisant pour fonder la qualité pour recourir. La partie recourante doit démontrer en quoi la décision attaquée viole une règle de droit destinée à protéger ses intérêts et en quoi elle en déduit un droit subjectif (Moreillon/Parein-Reymond, Petit commentaire, Code de procédure pénale, Bâle 2013, nn. 2 ss ad art. 382 CPP et réf. citées).</w:t>
      </w:r>
    </w:p>
    <w:p>
      <w:r>
        <w:rPr>
          <w:b/>
        </w:rPr>
        <w:t>E. 1.2</w:t>
      </w:r>
    </w:p>
    <w:p>
      <w:r>
        <w:t>En l’espèce, interjeté dans les formes et délais légaux contre un jugement de première instance qui a clos la procédure (art. 381 al. 1 et 398 al. 1 CPP), l’appel du Ministère public est recevable. Egalement formé dans les formes et délais légaux, l’appel joint, en tant qu’il est interjeté par L.________, est recevable, le prévenu critiquant le montant de l‘indemnité allouée par le premier juge et disposant ainsi de la légitimation active. La société V.________ ne prenant aucune conclusion tendant à la modification de la décision sur des points du dispositif la concernant, elle n’a aucun intérêt à agir et n’a pas qualité pour interje­ter appel. L’appel joint est ainsi irrecevable en tant qu’il est interjeté par V.________. Seule la question de l’indemnité et des frais étant litigieuse, l’appel est traité en procédure écrite (art. 406 al. 1 let. d CPP).</w:t>
      </w:r>
    </w:p>
    <w:p>
      <w:r>
        <w:rPr>
          <w:b/>
        </w:rPr>
        <w:t>E. 1.3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CPP n’est pas applicable à la plaignante et que, en présence d’infractions ne se poursuivant que sur plainte, les frais peuvent être mis à la charge de la plaignante, même en l’absence de toute témérité ou de négligence grave. Le prévenu, libéré des infractions à la LCD et à la LPM qui ne se poursuivent que sur plainte, a obtenu gain de cause et la plaignante, une société largement solvable, a clairement succombé. Aucun motif ne justifie que l’on s’écarte de la règle légale. Le principe de l’équité ne permet pas non plus d’arriver à la solution inverse et de laisser les frais à la charge de l’Etat. Il serait en effet choquant de faire supporter les frais de la procédure en cause à l’Etat, dès lors que la plaignante est une société en bonne santé économique qui a manifestement engagé des poursuites pénales pour tenter d’obtenir une décision plus favorable que celle obtenue en mesures provisionnelles devant le juge civil (P. 10/1) et, partant, d’améliorer sa position dans le procès civil. Le Tribunal fédéral admet par ailleurs que les frais d’une procédure pénale close par un non-lieu soient mis en tout ou partie à la charge du plaignant lorsque celui-ci a agi par légèreté (TF 1P.38/2002 du 7 mars 2002 consid. 3.2  et réf. citées). Dans ces conditions, il y a lieu de mettre les frais de justice, par 1'713 fr. (750 fr. [pv instruction] + 700 fr. [audience] + 24 fr. [témoin] + 239 fr. [interpète]), et les fais de défense du prévenu relatifs à la procédure de première instance à la charge de la plaignante qui succombe. Le jugement de première instance doit ainsi être modifié dans ce sens.</w:t>
      </w:r>
    </w:p>
    <w:p>
      <w:r>
        <w:rPr>
          <w:b/>
        </w:rPr>
        <w:t>E. 2.2</w:t>
      </w:r>
    </w:p>
    <w:p>
      <w:r>
        <w:t>En l’espèce, la plaignante a déposé plainte contre le prévenu et a participé activement à la procédure. Elle a consulté un avocat qui a régulièrement sollicité la direction de la procédure en versant des pièces au dossier. Un représentant de la plaignante était présent aux débats lors desquels un avocat a plaidé sa cause et a pris des conclusions civiles. Il s’ensuit que la condition restrictive posée par l’art. 427 al.</w:t>
      </w:r>
    </w:p>
    <w:p>
      <w:r>
        <w:rPr>
          <w:b/>
        </w:rPr>
        <w:t>E. 3.1</w:t>
      </w:r>
    </w:p>
    <w:p>
      <w:r>
        <w:t>L’indemnité au sens de l’art. 432  al. 2 CPP allouée au prévenu L.________ acquitté pour ses dépenses obligatoires doit, comme exposé ci-dessus (consid. 2.2 supra), être mise à la charge de la plaignante. Il convient dès lors d’examiner le montant alloué au prévenu, lequel réclame une indemnité de 13'920 fr. pour la procédure de première instance. La quotité de l’indemnité doit être fixée en application des principes énoncés à l'art. 26a TFIP (Tarif des frais de procédure et indemnités en matière pénale du 28 septembre 2010 ; RSV 312.03.1). Conformément à cette disposition, le tarif déterminant est de 250 fr. au minimum et de 350 fr. au maximum pour l'activité déployée par l'avocat. Il est de 160 fr. pour l'activité déployée par un avocat stagiaire (al. 1). Dans les causes particulièrement complexes ou nécessitant des connais­sances particulières, ce tarif peut être augmenté jusqu'à 400 fr. (al. 2). 3.2.1 Le premier juge a considéré qu’une bonne partie du temps consacré à l’affaire pénale faisait double emploi avec le temps consacré à la procédure civile et que l’affaire était délicate à trancher sous l’angle de la confusion au sens de l’art. 3 LCD. Il a ainsi réduit le temps consacré par l’avocat à son mandat pénal à 15 heures, sans discuter le tarif horaire de 400 fr., et alloué une indemnité de 6'000 fr. au prévenu pour ses frais de défense. Le prévenu, assisté d’un défenseur de choix et acquitté, réclame une indemnité d’un montant de 13'920 fr. pour la procédure de première instance, ce qui correspond à un peu moins de 35 heures au tarif horaire de 400 francs. Il fait valoir qu’il a droit à une pleine indemnité, qu’il faut compter 6 heures pour l’audience de première instance et la lecture du jugement, et que le travail effectué dans le cadre de la procédure civile préalable a permis de réduire les opérations liées à la procé­dure pénale qui, sans cela, auraient été plus importantes. Il ne réclame aucun débours. 3.2.2 La liste des opérations produite le 5 mars 2015 (P. 45) fait état de 28,8 heures d’activité sans compter l’audience et la lecture du jugement, poste pour lequel l’appelant a ajouté</w:t>
      </w:r>
    </w:p>
    <w:p>
      <w:r>
        <w:rPr>
          <w:b/>
        </w:rPr>
        <w:t>E. 6</w:t>
      </w:r>
    </w:p>
    <w:p>
      <w:r>
        <w:t>heures. L’audience du 5 mars 2015 ayant débuté à 9 h 10 et les débats ayant été clos à 12 h 30, il faut compter 3 heures 20 et rajouter 20 minutes pour la lecture du jugement, soit un temps total d’audience de 3 heures 40, auquel il convient encore d’ajouter deux vacations à 120 francs. Le décompte des opérations mentionne 1 heure 50 pour l’audience de conciliation et la conférence, incluant ainsi la vacation. Le procès-verbal de l’audience de conciliation se bornant à constater l’échec de la conciliation (PV aud. 1), celle-ci n’a manifestement pas duré plus de 10 minutes. Il faut donc tenir compte d’1 heure pour cette audience et ajouter une vacation à 120 francs. Le temps de travail allégué apparaît pour le surplus tout à fait raisonnable. Il s’ensuit qu’il y a lieu de réduire le nombre d’heures annoncé de 3 heures 10 (2h20 + 0h50) et de retenir un total de 31,5 heures d’activité déployée par l’avocat. S’agissant du tarif horaire, il convient d’admettre que les questions de propriété intellectuelle sont compliquées à résoudre et que Me Schlosser est un avocat spécialiste dans le domaine de la propriété intellectuelle. Dans la mesure où il s’agit d’une procédure pénale faisant appel à des notions de la propriété intellectuelle, il convient de fixer le tarif horaire à 350 fr., lequel paraît adéquat compte tenu des spécificités de la présente cause. Au vu de ce qui précède, une indemnité de 12'295 fr. 80 (11'025 fr. + 360 fr. [vacations] + 910 fr. 80 [TVA]), à la charge de la plaignante, doit être allouée au prévenu pour la procédure de première instance. Le jugement de première instance doit être modifié dans ce sens. 4. En définitive, l’appel doit être admis et l’appel joint, en tant qu’il est recevable, partiellement admis, le jugement du 5 mars 2015 étant modifié aux chiffres IV et V de son dispositif dans le sens des considérants qui précèdent. Le jugement entrepris doit être rectifié d’office au chiffre I en ce sens que la société Y.________ s’appelle désormais V.________, conformément à l’extrait du Registre du commerce du canton de Zurich établi le 18 février 2015 (P. 44/8bis). L’appel joint n’étant que partiellement admis, il n’y a pas lieu à l’allocation de dépens pour la procédure d’appel. Les frais d'appel, constitués de l'émolument de jugement, par 1’320 fr. (art. 21 al. 1 TFIP), doivent également être mis à la charge de la plaignante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