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461 vom 2. Juli 2015</w:t>
      </w:r>
    </w:p>
    <w:p>
      <w:r>
        <w:t>VD Tribunal cantonal, 2015-07-02, FR</w:t>
      </w:r>
    </w:p>
    <w:p>
      <w:r>
        <w:rPr>
          <w:b/>
        </w:rPr>
        <w:t xml:space="preserve">Quelle: </w:t>
      </w:r>
      <w:r>
        <w:t>https://mcp.opencaselaw.ch/entscheid/vd_findinfo_Jug___2015___461</w:t>
      </w:r>
    </w:p>
    <w:p>
      <w:r>
        <w:t>FR: VD_FINDINFO Jug / 2015 / 461 du 2 juillet 2015</w:t>
      </w:r>
    </w:p>
    <w:p>
      <w:r>
        <w:t>IT: VD_FINDINFO Jug / 2015 / 461 del 2 luglio 2015</w:t>
      </w:r>
    </w:p>
    <w:p>
      <w:pPr>
        <w:pStyle w:val="Heading2"/>
      </w:pPr>
      <w:r>
        <w:t>Regeste</w:t>
      </w:r>
    </w:p>
    <w:p>
      <w:r>
        <w:t>GESTION DÉLOYALE, FAUX INTELLECTUEL DANS LES TITRES, DOUTE, ACQUITTEMENT | 158 ch. 1 al. 1 CP, 251 ch. 1 CP, 10 CPP (CH), 398 al. 1 CPP (CH)</w:t>
      </w:r>
    </w:p>
    <w:p>
      <w:pPr>
        <w:pStyle w:val="Heading2"/>
      </w:pPr>
      <w:r>
        <w:t>Erwägungen</w:t>
      </w:r>
    </w:p>
    <w:p>
      <w:r>
        <w:rPr>
          <w:b/>
        </w:rPr>
        <w:t>E. 1.1</w:t>
      </w:r>
    </w:p>
    <w:p>
      <w:r>
        <w:t>H.________ fait valoir que L.________ SA n’a pas la qualité pour former appel.</w:t>
      </w:r>
    </w:p>
    <w:p>
      <w:r>
        <w:rPr>
          <w:b/>
        </w:rPr>
        <w:t>E. 1.2</w:t>
      </w:r>
    </w:p>
    <w:p>
      <w:r>
        <w:t>Les jugements des tribunaux de première instance qui ont clos tout ou partie de la procédure sont susceptibles de faire l’objet d’un appel en vertu de l’art. 398 al. 1 CPP. La qualité pour former appel est définie à l’art. 382 CPP (Code de procédure pénale du 5 octobre 2007 ; RS 312.0), disposition générique en matière de qualité pour recourir. Selon cette norme,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l’art. 382 CPP doit être comprise au sens des art. 104 et 105 CPP. Cette qualité est notamment reconnue à la partie plaignante, soit selon l’art. 118 al. 1 CPP, au lésé qui déclare expressément vouloir participer à la procédure pénale comme demandeur au pénal ou au civil. Le lésé représente toute personne dont les droits ont été touchés directement par une infraction. Conformément à l’art. 119 al. 2 CPP, le lésé peut dans sa déclaration cumulativement ou alternativement (a) demander la poursuite et la condamnation de la personne pénalement responsable de l’infraction (plainte pénale) ; (b) faire valoir des conclusions civiles déduites de l’infraction (action civile) par adhésion à la procédure pénale (ATF 139 IV 78 consid. 3.1). La doctrine majoritaire ne mentionne pas l’exigence de prise de conclusions civiles comme condition de recevabilité selon l’art. 382 al. 1 CPP, ce qui signifie que la partie plaignante peut former appel pour ce qui concerne la culpabilité du prévenu lorsqu’elle s’est uniquement déclarée demanderesse à l’action pénale selon les art. 118 al. 1 et 119 al.</w:t>
      </w:r>
    </w:p>
    <w:p>
      <w:r>
        <w:rPr>
          <w:b/>
        </w:rPr>
        <w:t>E. 1.3</w:t>
      </w:r>
    </w:p>
    <w:p>
      <w:r>
        <w:t>Dans le cas d’espèce, dès lors que l’intimé libéré était l’employé de l’appelante et qu’il lui était reproché notamment d’avoir établi une fausse facture avec l’en-tête de l’entreprise, l’appelante a à l’évidence qualité pour déposer plainte et partant, pour interjeter un appel</w:t>
      </w:r>
    </w:p>
    <w:p>
      <w:r>
        <w:rPr>
          <w:b/>
        </w:rPr>
        <w:t>E. 1.4</w:t>
      </w:r>
    </w:p>
    <w:p>
      <w:r>
        <w:t>Interjeté dans les formes et délais légaux (art. 399 CPP) par une partie ayant la qualité pour recourir (art. 382 CPP) contre le jugement d’un tribunal de première instance qui a clos la procédure (art. 398 al. 1 CPP), l’appel de L.________ SA, qui est fondé à contester l’acquittement de H.________,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 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L.________ SA invoque une constatation incomplète des faits.</w:t>
      </w:r>
    </w:p>
    <w:p>
      <w:r>
        <w:rPr>
          <w:b/>
        </w:rPr>
        <w:t>E. 3.1</w:t>
      </w:r>
    </w:p>
    <w:p>
      <w:r>
        <w:t>L’appelante fait valoir que le jugement de première instance omet d’indiquer que X.________ travaillait depuis le mois de juin 2010, soit environ 5 mois avant les faits de la présente cause. L’état de fait a été complété sur ce point.</w:t>
      </w:r>
    </w:p>
    <w:p>
      <w:r>
        <w:rPr>
          <w:b/>
        </w:rPr>
        <w:t>E. 3.2</w:t>
      </w:r>
    </w:p>
    <w:p>
      <w:r>
        <w:t>L’appelante soutient que le témoignage de I.________, engagée comme apprentie dans la société L.________ SA, doit être apprécié avec circonspection en raison du fait qu’elle avait eu des contacts personnels fréquents en dehors de son activité professionnelle avec le prévenu. H.________ n’a pas nié entretenir des contacts amicaux avec ce témoin. Cet élément ne justifie pas d'écarter son témoignage. Au demeurant, ce litige, qui a touché deux collaborateurs de l’entreprise L.________ SA, a impliqué l’audition de plusieurs membres du personnel, soit un cercle de personnes relativement proches.</w:t>
      </w:r>
    </w:p>
    <w:p>
      <w:r>
        <w:rPr>
          <w:b/>
        </w:rPr>
        <w:t>E. 4</w:t>
      </w:r>
    </w:p>
    <w:p>
      <w:r>
        <w:t>L.________ SA invoque un abus de pouvoir d’appréciation et la violation du principe in dubio pro reo . Elle reproche, en bref, au premier juge de ne pas avoir retenu que H.________ avait donné l’instruction à X.________ d’établir la fausse facture.</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14 par. 2 Pacte ONU II (Pacte international relatif aux droits civils et politiques du 16 décembre 1966 ; RS 0.103.2),</w:t>
      </w:r>
    </w:p>
    <w:p>
      <w:r>
        <w:rPr>
          <w:b/>
        </w:rPr>
        <w:t>E. 4.1.2</w:t>
      </w:r>
    </w:p>
    <w:p>
      <w:r>
        <w:t>Aux termes de l'art. 251 CP, se rend coupable de faux dans les titres celui qui, dans le dessein de porter atteinte aux intérêts pécuniaires ou aux droits d’autrui, ou de se procurer ou de procurer à un tiers un avantage illicite, aura crée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w:t>
      </w:r>
    </w:p>
    <w:p>
      <w:r>
        <w:rPr>
          <w:b/>
        </w:rPr>
        <w:t>E. 4.1.3</w:t>
      </w:r>
    </w:p>
    <w:p>
      <w:r>
        <w:t>L’art. 158 CP sanctionne, d'une part, la gestion déloyale (ch. 1) et, d'autre part, l'abus du pouvoir de représentation (ch. 2). L'art. 158 ch. 2 CP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L’infraction d'abus du pouvoir de représentation au sens de cette disposition est subsidiaire à l’infraction de gestion déloyale de l’art. 158 ch. 1 CP. Elle suppose la réunion de quatre éléments, à savoir un pouvoir de représentation, l'abus du pouvoir, un dommage et l'intention. L'auteur doit avoir un pouvoir de représentation, découlant de la loi, d'un mandat officiel ou d'un acte juridique (Dupuis et al., Petit Commentaire du Code de pénal, Bâle 2012, n. 35 ad art. 158 CP). Le comportement délictueux consiste à abuser du pouvoir de représentation, c'est-à-dire à l'employer sur le plan externe, dans un rapport avec autrui, mais en violation des règles internes fixant les limites et les buts du pouvoir conféré (TF 6B_164/2010 du 1er juin 2010 consid. 2.1.2 ; Corboz, Les infractions en droit suisse, vol. I, n.15 ad art. 158 CP). Sur le plan subjectif, l’art. 158 ch. 2 CP est une infraction de nature intentionnelle ; la conscience et la volonté de l’auteur doivent englober l’existence d’un pouvoir de représentation, l’abus de celui-ci et le dommage ; l’infraction suppose en outre un dessein d’enrichissement illégitime (Dupuis et al., op. cit., nn. 42-43 ad art. 158 CP).</w:t>
      </w:r>
    </w:p>
    <w:p>
      <w:r>
        <w:rPr>
          <w:b/>
        </w:rPr>
        <w:t>E. 4.2</w:t>
      </w:r>
    </w:p>
    <w:p>
      <w:r>
        <w:t>Dans le cas d’espèce, il ne fait aucun doute que le document relatif à l’acquittement de la facture concernant le véhicule VW Golf Team Bluemotion comportant l’en-tête et le sceau de L.________ SA est un faux dans les titres. Ce document a été établi et signé par X.________ à la demande d’un tiers. Les soupçons se sont portés sur H.________ qui était en charge des véhicules de la famille [...]. Tout au long de l’instruction pénale, H.________ a nié avoir donné l’instruction à X.________ d’établir la facture litigieuse. Le prévenu a d’ailleurs prétendu avoir vu pour la première fois ce document en cours de procédure. Cette pièce a au demeurant été remise par G.________ à U.________ AG, qui l’a ensuite transmise à L.________ SA. Les déclarations de X.________ doivent être considérées avec circonspection dans la mesure où il était directement intéressé à l’issue du litige pénal, dès lors qu’il a été entendu en qualité de témoin, puis de prévenu. En outre, il n'a pas été affirmatif lorsqu'il a été entendu le 6 septembre 2013. Il a en effet indiqué « Je venais d’arriver au L.________ SA. Si j’ai établi ce document c’est à la demande de quelqu’un. Vous me demandez de qui a émané la requête. Ce ne peut être que M. H.________. Au moment des faits, il y avait deux vendeurs soit M. H.________ et M. W.________. Ce dernier a été licencié avec effet immédiat en novembre 2010 après avoir commis des malversations. N.________ était un client de M. H.________, c’est pour cette raison que je peux vous affirmer que c’est lui qui m’a demandé d’établir la facture incriminée. M. H.________ m’avait dit qu’il avait besoin d’une facture. Je me suis exécuté sans me poser de questions. Il était habilité à me faire ce genre de demandes ». Interpellé par le prévenu, il a précisé qu’à son souvenir c’était la seule facture qui avait été émise pour un client et à la question de savoir s’il avait un souvenir précis que H.________ lui avait fait cette demande ou si c’était une déduction, il a répondu en ces termes : « Je répète que cela ne peut être que H.________ qui a formulé la demande ». Ses déclarations sont par ailleurs contredites par son courriel du 27 novembre 2012, dans lequel il explique que G.________, sa fille V.________ et son gendre N.________ étaient venus au garage durant l’été 2011 demander une attestation indiquant que ce dernier était le propriétaire du véhicule pour pouvoir se rendre en vacances en Tunisie (P. 12/2). En outre, il a indiqué lors de sa déposition devant le Procureur que c’était la seule facture pro-forma qui avait été établie pour un client, alors que l’enquête pénale a permis d’établir que cette pratique de facturation n’était pas inhabituelle dans l’entreprise L.________ SA, comme cela ressort des déclarations de l’apprentie I.________ et de l’employé D.________. La déposition de V.________ doit, elle aussi, être considérée avec réserve. En effet, V.________ est impliquée dans le procédé mis en place par son père G.________ et son mari N.________ pour pouvoir importer des voitures en Tunisie, en violation des lois tunisiennes et suisses. Lors de son audition devant la greffière du Ministère public, V.________ disposait d’un mémo, auquel elle se référait pour répondre aux questions, de sorte que ses déclarations n’étaient pas spontanées. Au demeurant, ses propos ne concordent pas avec ceux de X.________. Ainsi, X.________ n’a pas désigné clairement H.________, comme étant celui qui lui avait demandé d’établir la facture litigieuse. Il s’est en finalité contenté de le désigner par déduction, au motif que G.________ était son client. Quant à V.________, outre le fait d’avoir indiqué qu’elle s’était entretenue avec H.________, celle-ci n’a pas dit l’avoir vu donner cette instruction. Elle n’a également pas vu qui avait faxé le document en Tunisie. Quant aux déclarations de l’apprentie I.________, celles-ci tendent à confirmer la version des faits de H.________. En effet, elle a déclaré ce qui suit : « Je me rappelle que M. X.________ devait faxer un document aux douanes tunisiennes. Il était un peu stressé car il devait agir rapidement. Il ne m’en a pas parlé directement. Je l’ai entendu parler au téléphone. C’est à ce moment-là que j’ai compris qu’il devait faxer un document en Tunisie. Je n’ai pas parlé de ceci avec lui. Pour répondre à Me Tabet, je ne sais pas avec qui M. X.________ s’entretenait au téléphone ». A la question de savoir si H.________ était impliqué dans le processus de l’envoi du fax en Tunisie, elle a indiqué : « Je n’ai pas le souvenir d’avoir vu M. H.________ se rendre au fax. Je n’ai pas non plus entendu M. H.________ parler du document avec M. X.________. Je ne savais pas quel type de document il s’agissait ». Rien n’indique qu’il faudrait écarter son témoignage en raison des liens particuliers qu’elle entretiendrait avec le prévenu, tous les intervenants de cette affaire étant au demeurant collègues de travail et se connaissant parfaitement. Au surplus, un autre vendeur qui travaillait à l’époque des faits, soit W.________, a été licencié avec effet immédiat au mois de novembre 2010 en raison de malversations et plusieurs autres employés avaient accès au système permettant d'établir des factures. Compte tenu de l’ensemble de ces éléments, la Cour de céans se rallie à l’appréciation du Tribunal de première instance, et considère également qu'un doute sérieux subsiste sur le point de savoir si c’est H.________ qui a demandé à X.________ d’établir la facture litigieuse. H.________ doit ainsi être libéré des chefs de prévention de faux dans les titres et de gestion déloyale, cette dernière infraction ne paraissant au surplus pas réalisée, faute de dommage. 5. 5.1 En définitive, l’appel de L.________ SA doit être rejeté et le jugement attaqué confirmé. Vu l’issue de la cause, les frais de la procédure d'appel, constitués de l'émolument de jugement, par 1'830 fr. (art. 21 al. 1 TFIP [Tarif des frais de procédure et indemnités en matière pénale du 28 septembre 2010 ; RSV 312.03.1]) doivent être mis à la charge de l’appelant qui succombe (art. 428 al. 1 CPP). 5.2 L'acquittement de H.________ ayant été confirmé, ce dernier, assisté d’un défenseur de choix, a droit à une juste indemnité pour ses frais de défense occasionnés par la procédure d’appel (art. 429 al. 1 let. a CPP). C’est donc une indemnité de 3’788 fr. 65 , TVA et débours inclus, qui doit être allouée à H.________. Celle-ci sera mise à la charge de L.________ SA qui succombe (art. 428 al. 1 CPP).</w:t>
      </w:r>
    </w:p>
    <w:p>
      <w:r>
        <w:rPr>
          <w:b/>
        </w:rPr>
        <w:t>E. 6</w:t>
      </w:r>
    </w:p>
    <w:p>
      <w:r>
        <w:t>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