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455 vom 3. August 2015</w:t>
      </w:r>
    </w:p>
    <w:p>
      <w:r>
        <w:t>VD Tribunal cantonal, 2015-08-03, FR</w:t>
      </w:r>
    </w:p>
    <w:p>
      <w:r>
        <w:rPr>
          <w:b/>
        </w:rPr>
        <w:t xml:space="preserve">Quelle: </w:t>
      </w:r>
      <w:r>
        <w:t>https://mcp.opencaselaw.ch/entscheid/vd_findinfo_Jug___2015___455</w:t>
      </w:r>
    </w:p>
    <w:p>
      <w:r>
        <w:t>FR: VD_FINDINFO Jug / 2015 / 455 du 3 août 2015</w:t>
      </w:r>
    </w:p>
    <w:p>
      <w:r>
        <w:t>IT: VD_FINDINFO Jug / 2015 / 455 del 3 agosto 2015</w:t>
      </w:r>
    </w:p>
    <w:p>
      <w:pPr>
        <w:pStyle w:val="Heading2"/>
      </w:pPr>
      <w:r>
        <w:t>Regeste</w:t>
      </w:r>
    </w:p>
    <w:p>
      <w:r>
        <w:t>TRAVAIL D'INTÉRÊT GÉNÉRAL, ADMISSION DE LA DEMANDE, VIOLATION D'UNE OBLIGATION D'ENTRETIEN | 217 CP, 37 al. 1 CP, 42 al. 1 CP</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qui a clos la procédure (art. 398 al. 1 CPP), l’appel de A.N.________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ne conteste pas que les éléments constitutifs de l’infraction de violation d’obligation d’entretien, réprimée par l’art. 217 CP (Code pénal suisse du 21 décembre 1937 ; RS 311.0), sont réalisés. Il s’en prend uniquement au genre de la peine, sollicitant une peine de travail d'intérêt général en lieu et place d'une peine privative de liberté. Il fait valoir qu’il travaille pour sa propre entreprise, que l’exé­cution d’une peine de deux mois d’emprison­n­ement anéantirait tous les efforts entrepris pour son activité profession­nelle, que son épouse, sans travail, ne pourrait pas assumer leurs charges et que, selon son médecin, il n’y a pas de contre-indication médicale à ce qu’il effectue un travail d’intérêt général.</w:t>
      </w:r>
    </w:p>
    <w:p>
      <w:r>
        <w:rPr>
          <w:b/>
        </w:rPr>
        <w:t>E. 3.1.1</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6B_546/2013 du 23 août 2013 consid. 1.1).</w:t>
      </w:r>
    </w:p>
    <w:p>
      <w:r>
        <w:rPr>
          <w:b/>
        </w:rPr>
        <w:t>E. 3.1.2</w:t>
      </w:r>
    </w:p>
    <w:p>
      <w:r>
        <w:t>En application de l’art. 37 al. 1 CP, à la place d’une peine privative de liberté de moins de six mois ou d’une peine pécuniaire de 180 jours-amende au plus, le juge peut ordonner, avec l’accord de l’auteur, un travail d’intérêt général de 720 heures au plus.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consid.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(ibidem, consid. 6.3.2). Dès lors, le prononcé d’un travail d’intérêt général n’est justifié qu’autant que l’on puisse au moins prévoir que l’intéressé pourra, cas échéant après l’exécution, poursuivre son évolution en Suisse. En effet, la réparation en faveur de la collectivité locale ainsi que le maintien du réseau social de l’intéressé sont l’essence même de la peine de travail d’intérêt général. Quand il est d’avance exclu que l’étranger demeure en Suisse, ce but ne peut être atteint. Aussi, lorsqu’au moment du juge­ment déjà, le condamné ne dispose d’aucun droit de demeurer en Suisse ou lorsqu’il est établi qu’une décision définitive a été rendue sur son statut en droit des étrangers et qu’il doit quitter la Suisse, le travail d’intérêt général ne constitue pas une sanction adéquate et est donc exclu (ATF 134 IV 97 consid. 6.3.3.4 ; TF 6B_709/2013 du 27 janvier 2014 consid. 2 ; TF 6B_262/2012 du 4 octobre 2012 consid. 1.3.2 ; TF 6B_128/2011 du 14 juin 2011 consid. 3.5.2).</w:t>
      </w:r>
    </w:p>
    <w:p>
      <w:r>
        <w:rPr>
          <w:b/>
        </w:rPr>
        <w:t>E. 3.1.3</w:t>
      </w:r>
    </w:p>
    <w:p>
      <w:r>
        <w:t>S’agissant de la peine pécuniaire selon l’art. 34 CP, elle peut être exclue pour des motifs de prévention spéciale (TF 6B_196/2012 du 24 janvier 2013 consid. 3.3 ; TF 6B_128/2011 du 14 juin 2011 consid. 3.4) ou si elle n'est pas exécutable parce qu'elle prive le prévenu du nécessaire, voire de l'indispensable (ATF 134 IV 97 c. 5.2.3). La seule absence de revenus de l’auteur ne permet toutefois pas d’exclure ce genre de sanction ; bien plutôt, l’impécuniosité de l’auteur ne doit avoir d’effet que sur le montant du jour-amende, dont la jurisprudence fixe le minimum à dix francs (ATF 135 IV 180 consid. 1.4.2 ; ATF 134 IV 60 consid. 6.5.2).</w:t>
      </w:r>
    </w:p>
    <w:p>
      <w:r>
        <w:rPr>
          <w:b/>
        </w:rPr>
        <w:t>E. 3.1.4</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 ATF 134 IV 1 consid. 4.2.2 ; TF 6B_348/2014 du 19 juin 2014 consid. 2).</w:t>
      </w:r>
    </w:p>
    <w:p>
      <w:r>
        <w:rPr>
          <w:b/>
        </w:rPr>
        <w:t>E. 3.2</w:t>
      </w:r>
    </w:p>
    <w:p>
      <w:r>
        <w:t>En l'espèce, le premier juge a infligé à l’appelant une courte peine privative de liberté de deux mois. Vérifiée d'office, la quotité de la peine – non contestée – est modeste et adéquate. La Cour de céans fait siennes par adoption de motifs les considérations du premier juge à cet égard. En effet, l’appelant n’a presque rien payé pour sa fille pendant plus de quatre ans et n’a pas cherché à amé­liorer ses revenus, ce alors même qu’il avait déjà été condamné pour les mêmes faits le 19 avril 2011 par le Ministère public de l’arrondissement de l’Est vaudois et que ses rentrées, manifestement supérieures à celles résultant de la comptabilité obscu­re de son entreprise tenue par son épouse, lui auraient permis de verser à tout le moins une partie de la contribution d’entretien de sa fille. L’appelant n’a nullement tiré leçon de sa précé­dente condamnation ni pris conscience de ses responsabilités de père. Il y a donc récidive spéciale. Les trois versements modestes effectués du­rant ces qua­tre dernières années ne changent rien à ce constat. Dans ces circons­tances, la quotité de la peine, qui ne paraît pas particulièrement sévère au regard des éléments à charge et à décharge, peut être confirmée. La cour de céans ne discerne en outre aucune circonstance favorable, de sorte qu’un sursis à la nouvelle peine, qui n’est d’ailleurs pas explicitement demandé par l’appelant, n’est pas envisageable. Quant au genre de la peine, la cour de céans constate, tout comme le premier juge, que la peine pécuniaire avec sursis infligée au prévenu en 2011 s’est révélée totalement inefficace et que le fait d’alourdir encore ses charges financières ne l’aiderait pas à mieux s’acquitter de ses obligations d’entretien de père. Une peine pécuniaire s’avère donc exclue. Il convient enfin d’examiner la demande de l’appelant tendant au remplacement de sa peine privative de liberté de deux mois par un travail d’intérêt général. Considérant l’âge du prévenu, ses problèmes de santé et l’impos­sibilité pour lui de se reconvertir professionnellement, le premier juge a retenu qu’un travail d’intérêt général n’était pas envisageable. L’appelant considère qu’il est capable d’effectuer un travail d’intérêt général et son médecin généraliste, le Dr [...], n’y voit aucune contre-indication médicale. Eu égard à l’ensem­ble des circonstances, la cour de céans estime que rien ne s’oppose à ce que l’appelant, qui n’a que 61 ans, soit condamné à une peine de travail d’intérêt général, le choix de cette peine présentant l’avantage pour le prévenu de pouvoir exécuter sa peine tout en pour­suivant son activité professionnelle au sein de son entreprise et en s’assurant un revenu régulier lui permettant de contribuer à l’entretien de sa fille. La journée de travail d’intérêt général correspon­dant à 4 heures, il convient d’arrêter la peine à 240 heures de travail d’intérêt général en remplacement des 60 jours de peine privative de liberté. Le jugement de première instance doit ainsi être modifié dans ce sens.</w:t>
      </w:r>
    </w:p>
    <w:p>
      <w:r>
        <w:rPr>
          <w:b/>
        </w:rPr>
        <w:t>E. 4</w:t>
      </w:r>
    </w:p>
    <w:p>
      <w:r>
        <w:t>En définitive, l’appel interjeté par A.N.________ doit être admis et le jugement du 3 août 2015 réformé au chiffre II de son dispositif dans le sens des considérants qui précèdent. Vu l’issue de la cause, les frais de la procédure d’appel doivent être laissés à la charge de l’Etat (art. 423 al. 1 CPP). Au vu de ce qui précède,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