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453 vom 16. Juni 2015</w:t>
      </w:r>
    </w:p>
    <w:p>
      <w:r>
        <w:t>VD Tribunal cantonal, 2015-06-16, FR</w:t>
      </w:r>
    </w:p>
    <w:p>
      <w:r>
        <w:rPr>
          <w:b/>
        </w:rPr>
        <w:t xml:space="preserve">Quelle: </w:t>
      </w:r>
      <w:r>
        <w:t>https://mcp.opencaselaw.ch/entscheid/vd_findinfo_Jug___2015___453</w:t>
      </w:r>
    </w:p>
    <w:p>
      <w:r>
        <w:t>FR: VD_FINDINFO Jug / 2015 / 453 du 16 juin 2015</w:t>
      </w:r>
    </w:p>
    <w:p>
      <w:r>
        <w:t>IT: VD_FINDINFO Jug / 2015 / 453 del 16 giugno 2015</w:t>
      </w:r>
    </w:p>
    <w:p>
      <w:pPr>
        <w:pStyle w:val="Heading2"/>
      </w:pPr>
      <w:r>
        <w:t>Regeste</w:t>
      </w:r>
    </w:p>
    <w:p>
      <w:r>
        <w:t>SÉJOUR ILLÉGAL, ORDONNANCE SUR LES RÈGLES DE LA CIRCULATION ROUTIÈRE, LOI FÉDÉRALE SUR LA CIRCULATION ROUTIÈRE, LOI FÉDÉRALE SUR LES ARMES, LES ACCESSOIRES D'ARMES ET LES MUNITIONS, PEINE COMPLÉMENTAIRE, CONCOURS D'INFRACTIONS, AMENDE | 106 CP, 33 CP, 40 CP, 47 CP, 49 CP, 50 CP, 89 CP, 33 al. 1 let. a LArm, 90a LCR, 91 al. 1 LCR, 115 al. 1 let. b LEtr, 115 al. 1 let. c LEtr</w:t>
      </w:r>
    </w:p>
    <w:p>
      <w:pPr>
        <w:pStyle w:val="Heading2"/>
      </w:pPr>
      <w:r>
        <w:t>Erwägungen</w:t>
      </w:r>
    </w:p>
    <w:p>
      <w:r>
        <w:rPr>
          <w:b/>
        </w:rPr>
        <w:t>E. 1</w:t>
      </w:r>
    </w:p>
    <w:p>
      <w:r>
        <w:t>Interjeté dans les formes et délais légaux (art. 399 CPP; Code de procédure pénale suisse du</w:t>
      </w:r>
    </w:p>
    <w:p>
      <w:r>
        <w:rPr>
          <w:b/>
        </w:rPr>
        <w:t>E. 5</w:t>
      </w:r>
    </w:p>
    <w:p>
      <w:r>
        <w:t>octobre 2007; RS 312.0) par une partie ayant la qualité pour recourir contre le jugement d’un tribunal de première instance ayant clos la procédure (art. 398 al. 1 CPP), l'appel de K.________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2.3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Une solution n'est pas arbitraire du seul fait qu'une autre solution eût été possible (CAPE 19 décembre 2013/308 consid. 5b et les références citées). 3. K.________ fait valoir que l'excès de vitesse de plus de 50 km/h retenu à son encontre par le jugement attaqué n'aurait pas été constaté à satisfaction de droit, les mesures n'ayant pas été opérées comme le requiert l'Office fédéral des routes (ci-après : l'OFROU) et les Instruction de l'Office fédéral de métrologie (ci-après : les Instructions). Pour se conformer aux Instructions, les gendarmes auraient dû déterminer l'exactitude du compteur de vitesse affichée, puis soustraire la différence entre la vitesse affichée et celle réelle en plus de la marge de sécurité de 15% prévue par voie d'ordonnance, ce qu'ils n'ont pas fait. En outre, les policiers auraient perdu de vue le véhicule suivi. Pour ces motifs, les premiers juges seraient tombés dans l'arbitraire en reconnaissant l'appelant coupable d'une infraction grave à la Loi sur la circulation routière au lieu de le libérer. 4. 4.1 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en mai 2008, une ordonnance (Ordonnance de l'OFROU du 22 mai 2008 concernant l'ordonnance sur les contrôle de la sécurité routière; OOCCR-OFROU ; RS 741.013.1). En accord avec l'Office fédéral de métrologie (METAS), elle a encore élaboré des Instructions concernant les contrôles de vitesse par la police et la surveillance de la circulation aux feux rouges (ci-dessus : les Instructions). Les art. 6 à 9 OOCCR-OFROU précisent notamment les types de mesures (art. 6 et 7), les marges de sécurité (art. 8) ainsi que les exigences relatives à la documentation des vitesses mesurées (art. 9). L'art. 8 OOCCR-OFROU a fait l'objet de modifications entrées en vigueur le 1 er janvier 2014. L'ancien art. 8 al. 1 er let. g OOCCR-OFROU (en vigueur au moment des faits; RO 2011 5645) réglait deux types de contrôles, soit le contrôle par véhicule-suiveur (muni d'un tachygraphe) et le contrôle par véhicule-suiveur sans système calibré. Il disposait ainsi que devaient être déduites de la vitesse mesurée, en cas de contrôles par véhicule-suiveur, les valeurs indiquées au tableau de l'annexe l et en cas de mesures de vitesse effectuées au moyen d'un véhicule-suiveur sans système calibré 15% pour une valeur mesurée à partir de 101 km/h (ch. 2). Le cas de contrôle par véhicule-suiveur sans système calibré fait désormais l'objet de l'art. 8 al. 1 er let. i OOCCR-OFROU qui reprend, sans modification, les valeurs figurant à l'ancien art. 8 al. 1 let. g ch. 1 à 3 OOCCR-OFROU. Il n'apparaît ainsi pas plus favorable et c'est donc l'ancien droit qui s'applique (art. 2 al. 2 CP). Le chiffre 20 des Instructions (traitant des mesures au moyen d'un véhicule-suiveur sans système calibré) prévoit, à propos de la détermination exacte du compteur de vitesse du véhicule-suivant, que la différence entre la vitesse effective et la vitesse affichée au compteur, déterminée au moyen d'une mesure radar/laser, d'un récepteur GPS de la police ou sur un banc d'essai à rouleaux du service des automobiles ou d'une personne habilitée par l'autorité d'immatriculation, doit être soustraite du dépassement de vitesse constaté, après quoi il convient de déduire encore la marge de sécurité selon l'art. 8 al. 1 er let. g OOCCR-OFROU (dans sa teneur en vigueur jusqu'au 31 décembre 2013 ; TF 6B_1177/2013 du 12 mai 2014, 6B_1177/2013, consid. 3. 1). Toutefois, selon la jurisprudence, les Instructions techniques, comme celles concernant les contrôles de vitesse émises le 22 mai 2008 par l'Office fédéral des routes (OOCCR-OFROU), constituent de simples recommandations qui n'ont pas force de loi et ne lient pas le juge (ATF 123 II 106 consid. 2e p. 113 ; ATF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6B_863/2010du 17 janvier 2011 consid. 2.2 in SJ 2011 1265; 1C 345/2007 du 24 janvier 2008 consid. 4. 1, in JdT 2008 l 449). Les Instructions techniques réservent du reste la libre appréciation des preuves par les tribunaux (cf. ch. 21; TF : 6B_1177/2013 du 12 mai 2014, consid. 3. 2). De ce qui précède, il résulte que le simple fait qu'une mesure n'ait pas respecté les prescriptions de l'OOCCR-OFROU ne suffit pas à empêcher toute condamnation. 4.2 En l'espèce, le Tribunal s'est fondé sur le rapport de police du 24 novembre 2012 (Dossier B, P. 4/1), et les indications fournies aux débats par le [...] (jugement, p. 9). Il a retenu que les gendarmes avaient suivi le véhicule du prévenu sans discontinuer, à l'exception d'un bref instant où le véhicule était hors de leur champ de vision, et qu'ils étaient certains que le véhicule arrêté peu après était bien celui qu'ils avaient suivi à vive allure. Par ailleurs, la vitesse à laquelle circulait le prévenu ne pouvant être établie avec exactitude, le Tribunal s'en est tenu à celle de 180 km/h à laquelle, selon la pièce précitée, les agents roulaient pour tenter de le rattraper; il en a déduit une marge de sécurité de 15% conforme aux prescriptions contenues dans l'ordonnance de l'OFROU relatives au contrôle par un véhicule-suiveur. Sur cette base, il a été considéré que le prévenu avait dépassé la vitesse autorisée de plus de 50 km/h dans une zone limitée à 100 km/h, et s'était ainsi rendu coupable d'infraction grave à la LCR, dans sa teneur en vigueur en 2012, soit au moment des faits (art. 90 ch. 2 aLCR). Le rapport de police du 24 novembre 2012 (Dossier B, P. 4/1) relate très clairement les faits. Arrivés à la hauteur du portique RPLP de Lonay, soit aux alentours du kilomètre 62, sur un tronçon rectiligne, les policiers ont été dépassés par deux voitures roulant à très vive allure, soit une BMW blanche dont l'immatriculation débutait par [...]" et une Mercedes noire à plaques du Moyen-Orient. Dans le but de les rattraper, ils ont utilisé la pleine puissance de leur véhicule de service banalisé Subaru Outback (JT 760). Ils n'y sont parvenus qu'au droit du Garage de l'Autoroute, soit peu avant la sortie de Malley, alors que ces deux véhicules étaient quasiment à l'arrêt, sur les voies de circulation, la BMW sur la voie du milieu et la Mercedes sur la voie de gauche. Les policiers ont alors pu entendre très distinctement le moteur de la BMW dont le conducteur faisait monter exagérément les tours, ce qui produisait des détonations provenant des pots d'échappement. Brusquement, alors que les policiers arrivaient à proximité, ces deux conducteurs ont accéléré vivement et les agents ont fait de même. Ils se sont fait rapidement distancer, bien qu'ils aient eux-mêmes atteint une vitesse indiquée à 180 km/h au compteur. Les deux conducteurs se sont séparés au giratoire de la Maladière et les policiers ont choisi de suivre la BMW qui se dirigeait vers le centre ville de Lausanne. Ils sont parvenus à l'interpeller sur le chemin du Reposoir, en Ville de Lausanne, après avoir usé des attributs de police. Le conducteur a été identifié comme étant le prévenu. Il était aviné. Le [...] a confirmé la teneur du rapport de police. Il précise encore que c'est avant l'échangeur que les policiers ont perdu de vue un instant les deux véhicules. Les déclarations de la police sont claires, détaillées, et exemptes de contradictions ou d'incohérences, de sorte qu'il n'y a pas lieu de s'en écarter, s'agissant en outre de policiers assermentés. Au sujet de la vitesse, on constate que les policiers avaient accéléré jusqu'à une vitesse indiquée à 180 km/h à leur compteur lorsqu'ils se sont fait distancer, ce qui implique que la voiture de l'appelant circulait à une vitesse supérieure à la leur. Ainsi, lorsque le jugement retient une vitesse de 180 km/h à charge de l'appelant, indépendamment d'une marge d'erreur du compteur, c'est déjà une version favorable. Les premiers juges ont encore fait preuve de prudence en déduisant 15% des 180 km/h, pour arriver implicitement à 153 km/h, ou plus de 150 km/h. Cela n'est pas critiquable et doit être confirmé.</w:t>
      </w:r>
    </w:p>
    <w:p>
      <w:r>
        <w:rPr>
          <w:b/>
        </w:rPr>
        <w:t>E. 5.1</w:t>
      </w:r>
    </w:p>
    <w:p>
      <w:r>
        <w:t>Les principes fixés par la jurisprudence sous l'égide de l'ancien droit, applicable ratione temporis (art. 2 CP) étaient les suivants (cf. TF 6B_1011/2013 du 13 mars 2014 c. 2.1 in CAPE 11 août 2014/186 consid.3) : "L'infraction réprimée par l'art. 90 ch. 2 aLCR (le nouvel art. 90 al. 2 LCR, en vigueur depuis le 1er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(ATF 131 IV 133 consid.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(cf. arrêt 6B_571/2012 du 8 avril 2013 consid. 3.4 et les références citées)". A défaut de circonstances particulières, ce seuil doit également être appliqué en l'espèce, même si le tronçon en cause est limité à 100 km/h.</w:t>
      </w:r>
    </w:p>
    <w:p>
      <w:r>
        <w:rPr>
          <w:b/>
        </w:rPr>
        <w:t>E. 5.2</w:t>
      </w:r>
    </w:p>
    <w:p>
      <w:r>
        <w:t>En dépassant de plus de 50 km/h la vitesse autorisée sur l'autoroute, le prévenu s'est rendu coupable d'infraction grave à loi sur la circulation routière au sens de l'art. 90 ch. 2 aLCR. Au demeurant, le fait de rouler quasiment à l'arrêt sur l'autoroute, sans nécessité, de nuit, peut en lui-même également être considéré comme constitutif de violation grave de la LCR, sous la forme de la mise en danger abstrait accru (cf. Jeanneret, Les dispositions pénales de la LCR, notes 27 et 28 ad art. 90 LCR). C'est donc à juste titre que ce chef d'accusation a été retenu.</w:t>
      </w:r>
    </w:p>
    <w:p>
      <w:r>
        <w:rPr>
          <w:b/>
        </w:rPr>
        <w:t>E. 6</w:t>
      </w:r>
    </w:p>
    <w:p>
      <w:r>
        <w:t>Enfin, la peine fixée par le Tribunal pour sanctionner la violation grave des règles de la circulation routière ainsi que les autres infractions (non contestées) retenues à l'encontre de K.________, l'a été dans le respect de règles applicables (art. 42 al. 2, 47, 49 al. 1 et 89 CP) et doit être confirmée. L'intéressé ne la remet d'ailleurs en cause qu'en lien avec une modification en sa faveur du verdict de culpabilité, situation non réalisée en l'espèce.</w:t>
      </w:r>
    </w:p>
    <w:p>
      <w:r>
        <w:rPr>
          <w:b/>
        </w:rPr>
        <w:t>E. 7</w:t>
      </w:r>
    </w:p>
    <w:p>
      <w:r>
        <w:t>En définitive, l'appel de K.________ apparaît mal fondé et doit être rejeté aux frais de son auteur (art. 428 al.1 CPP), ce qui entraîne la confirmation du jugement attaqué.</w:t>
      </w:r>
    </w:p>
    <w:p>
      <w:r>
        <w:rPr>
          <w:b/>
        </w:rPr>
        <w:t>E. 8</w:t>
      </w:r>
    </w:p>
    <w:p>
      <w:r>
        <w:t>Il reste à statuer sur les frais et les indemnités.</w:t>
      </w:r>
    </w:p>
    <w:p>
      <w:r>
        <w:rPr>
          <w:b/>
        </w:rPr>
        <w:t>E. 8.1</w:t>
      </w:r>
    </w:p>
    <w:p>
      <w:r>
        <w:t>Compte tenu de l'ampleur de la procédure, de la connaissance du dossier déjà acquise en première instance, il convient d'accorder à Me Alain Vuithier l'indemnité d'office qu'il réclame et de lui allouer 1'466 fr. 65 à ce titre. Ce montant tient compte de 6 heures 36 de travail à 180 fr. d'une vacation d'avocat breveté à 120 francs, de 50 fr. de débours et de 8 % de TVA.</w:t>
      </w:r>
    </w:p>
    <w:p>
      <w:r>
        <w:rPr>
          <w:b/>
        </w:rPr>
        <w:t>E. 8.2</w:t>
      </w:r>
    </w:p>
    <w:p>
      <w:r>
        <w:t>Vu le sort de l'appel, les frais de seconde instance, par 3'186 fr. 65, y compris l'indemnité d'office ci-dessus, sont mis à la charge de K.________ qui succombe (art. 428 al. 1 CPP). K.________ ne sera tenu de rembourser à l'Etat le montant de l'indemnité en faveur de son défenseur d'office prévue au chiffre 8. 1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