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450 vom 20. Februar 2015</w:t>
      </w:r>
    </w:p>
    <w:p>
      <w:r>
        <w:t>VD Tribunal cantonal, 2015-02-20, FR</w:t>
      </w:r>
    </w:p>
    <w:p>
      <w:r>
        <w:rPr>
          <w:b/>
        </w:rPr>
        <w:t xml:space="preserve">Quelle: </w:t>
      </w:r>
      <w:r>
        <w:t>https://mcp.opencaselaw.ch/entscheid/vd_findinfo_Jug___2015___450</w:t>
      </w:r>
    </w:p>
    <w:p>
      <w:r>
        <w:t>FR: VD_FINDINFO Jug / 2015 / 450 du 20 février 2015</w:t>
      </w:r>
    </w:p>
    <w:p>
      <w:r>
        <w:t>IT: VD_FINDINFO Jug / 2015 / 450 del 20 febbraio 2015</w:t>
      </w:r>
    </w:p>
    <w:p>
      <w:pPr>
        <w:pStyle w:val="Heading2"/>
      </w:pPr>
      <w:r>
        <w:t>Regeste</w:t>
      </w:r>
    </w:p>
    <w:p>
      <w:r>
        <w:t>CONTRAINTE{DROIT PÉNAL}, TENTATIVE{DROIT PÉNAL}, DIFFAMATION, FIXATION DE LA PEINE | 173 ch. 1 CP, 181 CP, 22 ad 181 CP, 47 CP</w:t>
      </w:r>
    </w:p>
    <w:p>
      <w:pPr>
        <w:pStyle w:val="Heading2"/>
      </w:pPr>
      <w:r>
        <w:t>Erwägungen</w:t>
      </w:r>
    </w:p>
    <w:p>
      <w:r>
        <w:rPr>
          <w:b/>
        </w:rPr>
        <w:t>E. 1.1</w:t>
      </w:r>
    </w:p>
    <w:p>
      <w:r>
        <w:t>Interjeté dans les formes et délai légaux (art. 399 CPP) par une partie ayant la qualité pour recourir contre le jugement d’un tribunal de première instance ayant clos la procédure (art. 398 al. 1 CPP), l’appel de D.________ est recevable.</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w:t>
      </w:r>
    </w:p>
    <w:p>
      <w:r>
        <w:rPr>
          <w:b/>
        </w:rPr>
        <w:t>E. 2</w:t>
      </w:r>
    </w:p>
    <w:p>
      <w:r>
        <w:t>L’appelant conteste tout d’abord sa condamnation pour tentative de contrainte.</w:t>
      </w:r>
    </w:p>
    <w:p>
      <w:r>
        <w:rPr>
          <w:b/>
        </w:rPr>
        <w:t>E. 2.1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la;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134 IV 216 consid. 4.2; 119 IV 301 consid. 2a).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137 IV 326 consid. 3.3.1; 134 IV 216 consid. 4.1; 120 IV 17 consid. 2a/bb). Ainsi, menacer d'une plainte pénale pour une infraction que rien ne permet sérieusement de soupçonner est un moyen en soi inadmissible (ATF 120 IV 17 consid. consid. 2a/bb).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et les arrêts cités; au sujet de la contrainte susceptible d'être réalisée par un commandement de payer, cf. arrêt 6S.853/2000 du 9 mai 2001 et 6S.87411996 du 26 février 1997).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(cf. ATF 120 IV 17 c. 2 aa ; ATF 96 IV 58 c. 3). Certes, faire notifier un commandement de payer lorsqu’on est fondé à réclamer une telle somme est licite. En revanche, utiliser un tel procédé comme moyen de pression pour dissuader la personne visée d’agir correctement par exemple dans sa profession est clairement abusif, donc illicite (cf. ATF 115 III 18 c. 3, 81 c. 3b et SJ 1987 p. 156 ss). Il est donc concevable qu’une tentative de contrainte soit réalisée lorsqu’un commandement de payer d’un montant important est notifié, que le poursuivi allègue que la créance est manifestement inexistante et que le procédé a pour but de pousser le poursuivi à adopter un certain comportement (CAPE 3 juin 2011/35 c. 3.2) Sur le plan subjectif, il faut que l'auteur ait agi intentionnellement, c'est-à-dire qu'il ait voulu contraindre la victime à adopter le comportement visé en étant conscient de l'illicéité de son comportement; le dol éventuel suffit (ATF 120 IV 17 consid. 2c p. 22). Lorsque la victime ne se laisse pas intimider et n'adopte pas le comportement voulu par l'auteur, ce dernier est punissable de tentative de contrainte (ATF 129 IV 262; 106 IV 125 consid. 2b p. 12).</w:t>
      </w:r>
    </w:p>
    <w:p>
      <w:r>
        <w:rPr>
          <w:b/>
        </w:rPr>
        <w:t>E. 2.2</w:t>
      </w:r>
    </w:p>
    <w:p>
      <w:r>
        <w:t>En l’occurrence, l’appelant a fait notifier à F.________ un commandement de payer portant sur le montant de 100'000 fr., au titre de « Dommages pour déposition mensongère et diffamatoire lors de la convention signée à la justice de paix à Lausanne ainsi que tentative d'induire la justice en erreur dans le but d'extorsion abusive de fonds lors de la convention de conciliation au Ministère de l'intérieur. Solidairement responsable avec Me B.________ ». Il a fait notifier ce document dans le but d'obtenir de l’intimée qu'elle retire la poursuite intentée à son encontre et qu'elle renonce à lui réclamer le montant dû. Ce faisant, l'intéressé n'a certes pas usé de violence ou de menace, mais il a toutefois entravé son destinataire dans sa liberté d'action. Le commandement de payer notifié était dépourvu de tout fondement. Il y a lieu en effet de constater, à la lecture des pièces du dossier, que F.________ était fondée à faire notifier un commandement de payer à D.________, au contraire de ce dernier, qui, à l'évidence, n’a aucune prétention à faire valoir à l'encontre de la plaignante. En outre, le montant de 100'000 fr. est important et ne se justifie nullement par les allégations de l'appelant, le dommage invoqué correspondant à environ trois ans de salaire du prévenu et, partant, étant complètement fantaisiste. Or, faire notifier un commandement de payer à une personne lorsqu'on n'est pas fondé à lui réclamer une somme d'argent est illicite. L'entrave à la liberté que constitue le procédé utilisé n'est pas négligeable. En outre, elle est de nature à porter atteinte au crédit professionnel de l'intimée. En définitive, l’appelant a fait notifier un commandement de payer sans fondement, avec conscience et volonté, dans le but de dissuader l'intimée de recouvrer les honoraires de Me B.________. Cela relève de la contrainte. Dans la mesure toutefois où l'intimée ne s'est pas laissée intimider, seule la tentative doit être retenue à sa charge. On relèvera en dernier lieu qu’il n’appartient pas à la Cour de céans de faire bénéficier l’appelant d’un délai supplémentaire pour s’acquitter de la dette résultant du commandement de payer que F.________ lui a fait notifier en novembre 2013 sur mandant de Me B.________, étant souligné que la partie plaignante s’y est fermement opposée dans le cadre de ses déterminations du 9 octobre 2015.</w:t>
      </w:r>
    </w:p>
    <w:p>
      <w:r>
        <w:rPr>
          <w:b/>
        </w:rPr>
        <w:t>E. 3</w:t>
      </w:r>
    </w:p>
    <w:p>
      <w:r>
        <w:t>L’appelant conteste également sa condamnation pour diffamation.</w:t>
      </w:r>
    </w:p>
    <w:p>
      <w:r>
        <w:rPr>
          <w:b/>
        </w:rPr>
        <w:t>E. 3.1</w:t>
      </w:r>
    </w:p>
    <w:p>
      <w:r>
        <w:t>L'art. 173 ch. 1 CP réprime le comportement de celui qui, en s'adressant à un tiers, aura accusé une personne ou jeté sur elle le soupçon de tenir une conduite contraire à l'honneur, ou de tout autre fait propre à porter atteinte à sa considération, ou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p. 58). Le fait d'accuser une personne d'avoir commis un crime ou un délit intentionnel entre dans les prévisions de l'art. 173 ch. 1 CP (cf. ATF 132 IV 112; 118 IV 248 consid. 2b).</w:t>
      </w:r>
    </w:p>
    <w:p>
      <w:r>
        <w:rPr>
          <w:b/>
        </w:rPr>
        <w:t>E. 3.2</w:t>
      </w:r>
    </w:p>
    <w:p>
      <w:r>
        <w:t>Les termes usités dans le commandement de payer que D.________ a fait notifier à F.________ le 16 juillet 2014 portent atteinte à la considération de la plaignante et sont donc attentatoires à l'honneur, ce que ne peut ignorer l'appelant, qui a persisté, encore aux débats, dans ce genre d'allégations. Il en va de même lorsque, dans des courriers adressés à la Justice de paix, l’appelant a indiqué que le but poursuivi par l’intimée était de diffamer et d’induire la justice en erreur. Aucun élément ne permet au demeurant d'admettre que l'appelant aurait été légitimé à considérer ses écrits comme vrais. La condamnation pour diffamation doit donc être confirmée.</w:t>
      </w:r>
    </w:p>
    <w:p>
      <w:r>
        <w:rPr>
          <w:b/>
        </w:rPr>
        <w:t>E. 4</w:t>
      </w:r>
    </w:p>
    <w:p>
      <w:r>
        <w:t>L’appelant, qui conclut à son acquittement, ne conteste pas comme telle la quotité de la peine prononcée à son encontre. Examinant cette question d'office, la Cour de céans considère que la peine pécuniaire de 60 jours-amende à 40 fr. le jour, prononcée avec sursis, est adéquate dans son genre et dans sa quotité et qu’elle doit être confirmée. Au vu de l’ensemble des circonstances, et en particulier du fait que D.________ est déjà passablement affecté par le jugement rendu à son encontre, il n’y a néanmoins pas lieu de lui infliger en sus une amende à titre de sanction immédiate. Le jugement sera dès lors réformé dans cette mesure.</w:t>
      </w:r>
    </w:p>
    <w:p>
      <w:r>
        <w:rPr>
          <w:b/>
        </w:rPr>
        <w:t>E. 5</w:t>
      </w:r>
    </w:p>
    <w:p>
      <w:r>
        <w:t>En définitive, l’appel doit être partiellement admis et le jugement réformé dans le sens des considérants. Vu l'issue de la cause, les frais de la procédure d'appel, constitués du seul émolument d'arrêt (art. 21 al. 1 et 2 TFIP [tarif des frais de procédure et indemnités en matière pénale du 28 septembre 2010 ; RSV 312.03.1]), par 2’200 fr., seront mis pour deux tiers, soit par 1’466 fr. 70, à la charge de l’appelant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