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441 vom 21. April 2015</w:t>
      </w:r>
    </w:p>
    <w:p>
      <w:r>
        <w:t>VD Tribunal cantonal, 2015-04-21, FR</w:t>
      </w:r>
    </w:p>
    <w:p>
      <w:r>
        <w:rPr>
          <w:b/>
        </w:rPr>
        <w:t xml:space="preserve">Quelle: </w:t>
      </w:r>
      <w:r>
        <w:t>https://mcp.opencaselaw.ch/entscheid/vd_findinfo_Jug___2015___441</w:t>
      </w:r>
    </w:p>
    <w:p>
      <w:r>
        <w:t>FR: VD_FINDINFO Jug / 2015 / 441 du 21 avril 2015</w:t>
      </w:r>
    </w:p>
    <w:p>
      <w:r>
        <w:t>IT: VD_FINDINFO Jug / 2015 / 441 del 21 aprile 2015</w:t>
      </w:r>
    </w:p>
    <w:p>
      <w:pPr>
        <w:pStyle w:val="Heading2"/>
      </w:pPr>
      <w:r>
        <w:t>Regeste</w:t>
      </w:r>
    </w:p>
    <w:p>
      <w:r>
        <w:t>LOTERIE, REVENU PROVENANT DES LOTERIES, DU JEU ET DU PARI, TENTATIVE SIMPLE, ESCROQUERIE | 139 CP, 146 CP, 172ter CP, 22 CP, 46 CP, 47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l’appel de T.________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L'appelant invoque une constatation erronée des faits sur plusieurs points. Il invoque plus particulièrement, qu'au cas 2 (acte d'accusation du 5 novembre 2015), il n'est pas établi que la valeur du téléphone portable volé était supérieure à 300 fr. et que, s'agissant des cas 6 à 10 (acte d'accusation du 5 novembre 2015), la valeur des billets de loterie soustraits était elle aussi inférieure à 300 francs.</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Se rend coupable de vol celui qui, pour se procurer ou procurer à un tiers un enrichissement illégitime, aura soustrait une chose mobilière appartenant à autrui dans le but de se l'approprier (art. 139 ch. 1 CP). Pour que la soustraction d'une chose mobilière appartenant à autrui constitue un vol, il faut que l'auteur ait agi intentionnellement, dans le dessein de s'approprier cette chose et dans celui de se procurer ainsi, ou de procurer à autrui, un enrichissement illégitime. L’art. 172ter CP prévoit que si l’acte ne visait qu’un élément patrimonial de faible valeur ou un dommage de moindre importance, l’auteur sera, sur plainte, puni d’une amende. Un élément patrimonial est de faible valeur au sens de cette dernière disposition s’il ne dépasse pas 300 francs. Selon la doctrine, il ne faut pas prendre en considération la valeur du gain que l'auteur envisage de réaliser par l'usage de la chose volée – par exemple l'utilisation d'une carte bancaire pour retirer de l'argent – mais sont seules déterminantes les valeurs que l'auteur a obtenues par le délit concret (Weissenberger, in: Niggli/Wiprächtiger (éd.), Basler Kommentar, Strafrecht, vol. II, n. 23 ad art. 172ter CP et les références citées). Le Tribunal fédéral semble retenir qu'en matière d'enrichissement illégitime, le dessein ne se limite pas à la valeur intrinsèque de l'objet soustrait, mais s'étend à sa valeur d'usage (Favre, Pellet et Stoudmann, Code pénal annoté, Lausanne 2011, n. 1.9 ad art. 139 CP; ATF 111 IV 74). Enfin, lorsqu'il n'est pas possible de déterminer objectivement la valeur d'un objet, il est admissible de se référer à la valeur que celui-ci revêt pour le lésé, par exemple le prix que celui-ci paierait pour retrouver sa possession (Donatsch, Strafrecht III, Delikte gegen den Einzelnen, éd., Zurich 2003, p. 111). Cela revient en substance à estimer le dommage subi par la victime plutôt que de tenter d'estimer le profit que visait l'auteur.</w:t>
      </w:r>
    </w:p>
    <w:p>
      <w:r>
        <w:rPr>
          <w:b/>
        </w:rPr>
        <w:t>E. 3.3</w:t>
      </w:r>
    </w:p>
    <w:p>
      <w:r>
        <w:t>En l'espèce, s'agissant du cas 2, le téléphone portable volé par T.________ est un modèle HTC 3G de couleur brune dont la valeur est indéterminée dès lors que l'appareil avait déjà été utilisé pendant un certain temps par son propriétaire. Néanmoins, la grande majorité des téléphones portables se trouvant actuellement sur le marché ont un prix d'acquisition supérieur à 300 fr. ou sont remis ensuite de la conclusion d'un abonnement qui coûte globalement plus que ce montant. Il faut ainsi considérer que si le lésé avait dû acquérir un appareil analogue à celui dont il a été privé, il aurait dû débourser au minimum 300 fr., soit le seuil fixé par la jurisprudence pour retenir le vol en lieu et place d'infraction d'importance mineure. Dans ces circonstances, il y a lieu de constater que c'est à bon droit que les premiers juges ont reconnu T.________ coupable de vol pour ce cas, qualification qu'il avait d'ailleurs admise à l'audience de jugement.</w:t>
      </w:r>
    </w:p>
    <w:p>
      <w:r>
        <w:rPr>
          <w:b/>
        </w:rPr>
        <w:t>E. 3.4</w:t>
      </w:r>
    </w:p>
    <w:p>
      <w:r>
        <w:t>En ce qui concerne les cas 6 à 10, il est manifeste qu'un billet de loterie n'a de valeur que pour le gain qu'il peut permettre de réaliser. Dans les cas envisagés par la doctrine susmentionnée, lorsqu'elle exclut la prise en compte du gain espéré, l'auteur doit nécessairement commettre une nouvelle infraction, à tout le moins une tentative – par exemple lorsqu'il se rend au bancomat dans l'idée de retirer de l'argent avec la carte bancaire préalablement soustraite – afin de consommer l'infraction qui lui permettra ensuite de tenter d'obtenir le gain espéré. Dans une telle situation, le raisonnement, correct, de ces auteurs, permet ainsi d'éviter une double punissabilité de l'auteur, soit pour vol (art. 139 CP) puis pour utilisation frauduleuse d'un ordinateur (147 CP). Or, la situation à juger en l'espèce est différente puisque l'appelant n'avait plus à commettre d'infraction pour espérer un gain, qu'il souhaitait d'ailleurs aussi important que possible. L'infraction visait ainsi des objets qui, dans l'esprit de l'auteur, pouvaient l'enrichir, pour chaque cas, d'un montant supérieur à 300 francs. C'est donc à juste titre que les premiers juges ont retenu que T.________ s'était rendu coupable de vol pour ces cas et qu'ils n'ont pas fait application de l'art. 172ter CP.</w:t>
      </w:r>
    </w:p>
    <w:p>
      <w:r>
        <w:rPr>
          <w:b/>
        </w:rPr>
        <w:t>E. 4</w:t>
      </w:r>
    </w:p>
    <w:p>
      <w:r>
        <w:t>L'appelant conteste s'être rendu coupable de tentative d'escroquerie.</w:t>
      </w:r>
    </w:p>
    <w:p>
      <w:r>
        <w:rPr>
          <w:b/>
        </w:rPr>
        <w:t>E. 4.1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128 IV 18 consid. 3a; 122 II 422 consid. 3a; 122 IV 246 consid. 3a). Tel est notamment le cas si l'auteur conclut un contrat en ayant d'emblée l'intention de ne pas fournir sa prestation alors que son intention n'était pas décelable (ATF 118 IV 359 consid. 2) ou s'il exploite un rapport de confiance préexistant qui dissuade la dupe de vérifier (ATF 122 IV 246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Du point de vue subjectif, l'auteur doit avoir agi intentionnellement et dans un dessein d'enrichissement illégitime, un résultat correspondant n'étant cependant pas une condition de l'infraction (ATF 119 IV 210 consid. 4b). Selon l'art. 22 CP, le juge peut atténuer la peine si l'exécution d'un crime ou d'un délit n'est pas poursuivie jusqu'à son terme (tentative inachevée). La tentative inachevée se distingue des actes préparatoires en ce sens qu'elle suppose un commencement d'exécution. Les actes alors accomplis représentent, dans l'esprit de l'auteur, la démarche ultime et décisive vers l'accomplissement de l'infraction, après laquelle on ne revient normalement plus en arrière, sauf circonstances extérieures qui rendent l'exécution plus difficile ou impossible (Favre, Pellet et Stoudmann, op. cit., n. 1.2 ad art. 22 CP et les références citées). Il y a tentative au sens large d'escroquerie lorsque l'auteur agissant intentionnellement et dans un dessein d'enrichissement a commencé l'exécution de cette infraction manifestant ainsi l'intention de la commettre, même si les éléments objectifs font défaut en tout ou partie (CAPE 28 mai 2015/190 consid.</w:t>
      </w:r>
    </w:p>
    <w:p>
      <w:r>
        <w:rPr>
          <w:b/>
        </w:rPr>
        <w:t>E. 4.2</w:t>
      </w:r>
    </w:p>
    <w:p>
      <w:r>
        <w:t>En l'espèce, il ressort des déclarations de T.________ qu'il avait la ferme intention de déclarer à l'assurance que les téléphones portables qu'il avait achetés avec la complicité de M.________ et revendus pour une somme de 1'500 francs, avaient été volés. A cet égard, il a déclaré à l'audience de jugement : " je confirme mes explications données en cours d'enquête sur les instructions et les informations fournies à M.________ sur la manière dont il pouvait obtenir un téléphone portable, l'utiliser brièvement, l'annoncer volé pour obtenir un second téléphone tout en vendant le premier " (jgt., p. 4). Les actes que les deux comparses ont accomplis s'inscrivent clairement dans la logique d'un scénario frauduleux dont le dessein était de se procurer un enrichissement illégitime. L'exécution des actes délictueux a bel et bien débuté avec l'appropriation des téléphones portables. Si T.________ et M.________ ne sont pas arrivés à leurs fins, c'est uniquement car ce dernier a réalisé l'ampleur de son acte et ne s'est pas rendu à la police pour faire une fausse déclaration (PV aud. 1, p. 3), mais en aucun cas parce que T.________ n'aurait pas accompli une démarche ultime et décisive vers l'accomplissement de l'infraction. Dans ces circonstances, il y a lieu de constater que c'est à bon droit que les premiers juges ont retenu que T.________ s'était rendu coupable de tentative d'escroquerie. L'appel doit donc être rejeté sur ce point.</w:t>
      </w:r>
    </w:p>
    <w:p>
      <w:r>
        <w:rPr>
          <w:b/>
        </w:rPr>
        <w:t>E. 5</w:t>
      </w:r>
    </w:p>
    <w:p>
      <w:r>
        <w:t>S'agissant du cas 12 (acte d'accusation du 5 novembre 2014), T.________ demande à être mis au bénéfice de la prescription "pour la période courant dès le 21 avril 2012 jusqu'à la date du jugement de la Cour d'appel pénale". Les premiers juges ont considéré que les faits antérieurs au 21 avril 2012 étaient prescrits et que la période litigieuse à prendre en compte pour la condamnation était comprise entre le 21 avril 2012 et l'été 2013. La conclusion de l'appelant se heurte donc au texte clair de l'art. 97 al. 3 CP, applicable par analogie aux contraventions (TF 6B_643/2009 du 26 octobre 2009 consid. 1.2), qui prévoit que la prescription ne court plus, si avant son échéance, un jugement de première instance a été rendu. L'appel doit être rejeté sur ce point.</w:t>
      </w:r>
    </w:p>
    <w:p>
      <w:r>
        <w:rPr>
          <w:b/>
        </w:rPr>
        <w:t>E. 6</w:t>
      </w:r>
    </w:p>
    <w:p>
      <w:r>
        <w:t>T.________ conteste la quotité de la peine ainsi que la révocation du sursis accordé par le Tribunal correctionnel de Lausanne le 23 février 2011.</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rPr>
          <w:b/>
        </w:rPr>
        <w:t>E. 6.1.2</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consid.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6.2</w:t>
      </w:r>
    </w:p>
    <w:p>
      <w:r>
        <w:t>C'est à juste titre que les premiers juges ont estimé que la culpabilité de T.________ était particulièrement lourde. La multiplication des infractions commises dans les mois qui ont suivi sa condamnation à 24 mois de peine privative de liberté avec sursis prononcée le 23 février 2011 par le Tribunal correctionnel de l'arrondissement de Lausanne doit être lourdement prise en compte. Il a commis ces méfaits alors qu'il avait du travail, une famille qui s'occupait de lui et les moyens d'entreprendre une formation. Il a cependant choisi la délinquance. Dans ces circonstances, la peine privative de liberté de 8 mois infligée par les premiers juges ne prête pas flanc à la critique. S'agissant de la révocation du sursis octroyé par le jugement précité, on relèvera que T.________ n'a pas attendu cinq mois avant de récidiver alors qu'il avait tous les éléments en main pour bien faire. Au lieu de cela, il a multiplié les infractions. Il a en outre de nombreux antécédents. Le simple fait qu'il ait désormais un travail, un appartement et une fiancée ne saurait éclipser que T.________ n'a tenu aucun compte du sursis dont il bénéficiait. Les conditions de la révocation du sursis sont réalisées. L'appel doit être rejeté sur ces points.</w:t>
      </w:r>
    </w:p>
    <w:p>
      <w:r>
        <w:rPr>
          <w:b/>
        </w:rPr>
        <w:t>E. 7</w:t>
      </w:r>
    </w:p>
    <w:p>
      <w:r>
        <w:t>Il a déjà été exposé dans le cadre de l'examen de l'appel principal que la peine prononcée est adéquate. Au vu du sort de l'appel principal, il n'y a donc pas lieu de donner suite à la conclusion du Ministère public prise dans l'appel joint qui ne porte que sur la quotité de la peine.</w:t>
      </w:r>
    </w:p>
    <w:p>
      <w:r>
        <w:rPr>
          <w:b/>
        </w:rPr>
        <w:t>E. 8</w:t>
      </w:r>
    </w:p>
    <w:p>
      <w:r>
        <w:t>En définitive, l'appel de T.________ et l'appel joint du Ministère public doivent être rejetés. Vu l'issue de la cause, les frais de la procédure d'appel, constitués de l'émolument d'arrêt (art. 21 al. 1 et 2 TFIP [tarif des frais de procédure et indemnités en matière pénale du 28 septembre 2010 ; RSV 312.03.1]), par 1'940 fr., et l'idemnité allouée au défenseur d'office de T.________, par 1'512 fr., seront mis pour deux tiers à la charge de l'appelant, soit par 2'301 fr. 35, le solde étant laissé à la charge de l'Etat. T.________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