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421 vom 5. Juni 2015</w:t>
      </w:r>
    </w:p>
    <w:p>
      <w:r>
        <w:t>VD Tribunal cantonal, 2015-06-05, FR</w:t>
      </w:r>
    </w:p>
    <w:p>
      <w:r>
        <w:rPr>
          <w:b/>
        </w:rPr>
        <w:t xml:space="preserve">Quelle: </w:t>
      </w:r>
      <w:r>
        <w:t>https://mcp.opencaselaw.ch/entscheid/vd_findinfo_Jug___2015___421</w:t>
      </w:r>
    </w:p>
    <w:p>
      <w:r>
        <w:t>FR: VD_FINDINFO Jug / 2015 / 421 du 5 juin 2015</w:t>
      </w:r>
    </w:p>
    <w:p>
      <w:r>
        <w:t>IT: VD_FINDINFO Jug / 2015 / 421 del 5 giugno 2015</w:t>
      </w:r>
    </w:p>
    <w:p>
      <w:pPr>
        <w:pStyle w:val="Heading2"/>
      </w:pPr>
      <w:r>
        <w:t>Regeste</w:t>
      </w:r>
    </w:p>
    <w:p>
      <w:r>
        <w:t>LOI FÉDÉRALE SUR LES STUPÉFIANTS ET LES SUBSTANCES PSYCHOTROPES, FIXATION DE LA PEINE, AFFILIATION À UNE BANDE | 47 CP, 19 al. 1 LStup, 19 ch. 2 LStup, 10 CPP (CH)</w:t>
      </w:r>
    </w:p>
    <w:p>
      <w:pPr>
        <w:pStyle w:val="Heading2"/>
      </w:pPr>
      <w:r>
        <w:t>Erwägungen</w:t>
      </w:r>
    </w:p>
    <w:p>
      <w:r>
        <w:rPr>
          <w:b/>
        </w:rPr>
        <w:t>E. 1</w:t>
      </w:r>
    </w:p>
    <w:p>
      <w:r>
        <w:t>Interjeté dans les formes et délais légaux contre un jugement d’un tribunal de première instance ayant clos la procédure (art. 398 al. 1 CPP), l’appel d’A.________ est recevable. Il en va de même de l’appel joint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une partie des faits retenus à sa charge. Il conteste notamment être le fournisseur d’U.________ et de Q.________. En d’autres termes, il ne reconnaît que les faits pour lesquels il a été pris en flagrant délit et la consommation de marijuana, qu’il considère comme « anecdotique ». Il estime que les éléments de preuve à son encontre sont insuffisants.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w:t>
      </w:r>
    </w:p>
    <w:p>
      <w:r>
        <w:t>En l’espèce, le dossier comporte deux volets, soit le dossier neuchâtelois (P. 5), dont l’enquête a démarré le 20 janvier 2014 après l’arrestation, en flagrant délit, du prévenu, et le dossier vaudois (opération Lagune), dont l’enquête avait démarré longtemps auparavant, et qui portait sur un vaste trafic de cocaïne entre l’Espagne et la Suisse, impliquant plusieurs fournisseurs basés en Espagne, leurs clients grossistes en Suisse, ainsi que diverses mules faisant le lien entre les deux. Les surveillances téléphoniques ont permis des saisies de drogue pour plus de quatre kilos (P. 24, p. 211), parmi lesquelles les saisies en mains de la mule U.________ et du grossiste Q.________, qui démontrent le bien fondé des conclusions des enquêteurs. Il résulte de ces écoutes téléphoniques que l’importation de cocaïne par U.________, le 26 avril 2013, a été organisée par le fournisseur « K [...] » utilisant le numéro de téléphone espagnol 0034 [...] (P. 24, pp. 30 à 40). Le contenu de ces conversations n’est pas douteux puisque leur écoute a permis aux policiers d’interpeller U.________ et de saisir la marchandise, pour partie sur lui et pour partie dans son logement. Sur la base de plusieurs indices, la police a compris que le prévenu était « K [...] » (P. 32). Elle s’est notamment fondée sur l’interpellation du prévenu alors qu’il était en possession du téléphone ayant contenu la carte SIM correspondant au numéro précité, les correspondances des localisations du téléphone avec les déplacements annoncés par le prévenu, l’arrestation de ce dernier à la douane du Locle, utilisée par « K [...] » lors de ses venues en Suisse, et la correspondance d’une trace ADN retrouvée sur la drogue saisie en mains d’U.________. Le prévenu a d'ailleurs admis être l’utilisateur du numéro précité (PV aud. 2). Son ADN a en outre été retrouvé sur le nœud du sac alimentaire fermant un finger saisi lors de la perquisition au domicile d’U.________ (P. 21/1 ; P. 24, p. 157). Comme un finger est composé, de l’extérieur vers l’intérieur, de scotch blanc transparent, puis d’un sac alimentaire noué brûlé (P. 21/1, p. 2), l’emplacement de cette trace ADN permet de considérer que le prévenu a fabriqué ou ouvert ce finger. Ce dernier, comme plusieurs autres, comportait en outre, fixé par un petit morceau de scotch, un papier comportant l’inscription « PR ». Il résulte des écoutes des conversations téléphoniques, des aveux d’U.________ et de la comptabilité saisie en son appartement (P. 11, p. 40), que cette marque signifie que ces fingers étaient destinés au grossiste « P [...] », alias O.________, également arrêté au cours de l’opération Lagune. L’implication du prévenu ne fait donc aucun doute. Le prévenu ne conteste pas cette trace ADN mais ne fournit cependant aucune explication qui l'exonérerait. Il résulte également des écoutes téléphoniques que « K [...] », utilisateur du numéro espagnol précité, a organisé, le 2 juillet 2013, une livraison à Q.________, par l’intermédiaire de la coursière W.________ ; Q.________ et W.________ ont été interpellés en possession de la marchandise (P. 13/1, p. 76 ; P. 32, pp. 10 et 11 ; P. 48). Comme dans le cas précédent, les fingers portaient des marques. De plus, cette drogue avait un profil chimique identique à celle saisie le 26 avril 2013 en mains d’U.________ (P. 24, p. 157). Toujours au sujet de cette livraison, il ressort du dossier que le prévenu est venu à Genève le 2 juillet 2013, où il a éteint son téléphone espagnol (P. 32, p. 10 ; P. 48). Q.________ a ensuite eu des contacts avec son fournisseur qui utilisait désormais un numéro suisse, soit le 077 [...]; l’interprète de la police a déclaré reconnaître la voix du prévenu à l’écoute des conversations. On peut dès lors raisonnablement en conclure que ce dernier a lui-même amené la drogue à Genève et l’a transmise d'une manière ou d'une autre à W.________, afin que celle-ci aille la livrer à Q.________ à Lausanne. Selon les écoutes, le prévenu devait ensuite rentrer en Espagne en prenant l’avion à Bâle (P. 32, p. 11). Or, le 3 juillet 2013, il a été contrôlé à la gare de Bâle, dans le train en provenance de Lausanne, et a déclaré qu’il allait prendre l’avion pour Madrid (P. 5, p. 199 ; PV aud. 3, p. 3). Sur la base de ces éléments, là encore l’implication du prévenu est claire.</w:t>
      </w:r>
    </w:p>
    <w:p>
      <w:r>
        <w:rPr>
          <w:b/>
        </w:rPr>
        <w:t>E. 4</w:t>
      </w:r>
    </w:p>
    <w:p>
      <w:r>
        <w:t>Se fondant sur les seuls faits qu’il admet, le prévenu soutient n’être qu’une mule et non un fournisseur, « voire la tête pensante du trafic » comme le retiendrait le Tribunal de première instance. Il fait valoir que s’il était haut placé dans le trafic, il n’aurait jamais pris le risque de transporter lui-même de la drogue, en particulier plus qu’il n’était capable d’en avaler, l’organisme étant la seule cachette sûre. A aucun moment l’autorité de première instance n’a considéré le prévenu comme étant la tête pensante du trafic. Le prévenu a en revanche été considéré comme un « fournisseur ayant pour but de ravitailler le plus grand nombre possible de grossistes dans les meilleurs délais », qui a « agi à réitérées reprises dans le cadre d’un trafic international de stupéfiants bien organisé et pendant plusieurs mois » et qui était « mû par le simple appât du gain » (jgt., p. 28). Ces considérations sont fondées. Il résulte de l’enquête que plusieurs fournisseurs en Espagne, parmi lesquels le prévenu, ravitaillaient des grossistes en Suisse par l’envoi de plusieurs mules par semaines. On ne voit pas en quoi cette position de fournisseur serait incompatible avec le fait que le prévenu opère lui-même, à l’occasion, des transports. En effet, on peut tout à fait imaginer qu’il n’avait parfois pas de mule à disposition, ou qu’il préférait économiser le prix du salaire du transporteur, ou que des transports effectués précédemment avec succès lui ont donné l’impression que les risques d’être pris étaient minimes. Les écoutes téléphoniques confirment cette observation puisque dans l’une d’elles, « K [...] », alias le prévenu, annonce son intention d’effectuer personnellement une livraison (P. 13/1, p. 87). On rejoint le constat des policiers, selon lequel le prévenu pouvait « tant fonctionner comme organisateur de transport de cocaïne que comme transporteur en venant directement en Suisse, évitant ainsi de nombreux frais liés au transporteur » (P. 32, p. 12).</w:t>
      </w:r>
    </w:p>
    <w:p>
      <w:r>
        <w:rPr>
          <w:b/>
        </w:rPr>
        <w:t>E. 5</w:t>
      </w:r>
    </w:p>
    <w:p>
      <w:r>
        <w:t>Le Ministère public estime que la circonstance aggravante de la bande (art. 19 al. 2 let. b LStup) aurait dû être retenue. Il fait valoir que le prévenu faisait partie d’un réseau international de trafiquants nigérians présentant un degré d’organisation particulièrement élevé.</w:t>
      </w:r>
    </w:p>
    <w:p>
      <w:r>
        <w:rPr>
          <w:b/>
        </w:rPr>
        <w:t>E. 5.1</w:t>
      </w:r>
    </w:p>
    <w:p>
      <w:r>
        <w:t>Selon l’art. 19 al. 2 LStup, le cas est grave notamment lorsque l’auteur agit comme affilié à une bande formée pour se livrer de manière systématique au trafic illicite de stupéfiants (let. b). L’affiliation à une bande est réalisée lorsque deux ou plusieurs auteurs manifestent expressément ou par actes concluants la volonté de s’associer en vue de commettre ensemble plusieurs infractions indépendantes, même si elles ne sont pas encore déterminées (ATF 135 IV 158 consid. 2). Cette jurisprudence s’applique aussi en matière de stupéfiants (ATF 132 IV 132 consid. 5.2).</w:t>
      </w:r>
    </w:p>
    <w:p>
      <w:r>
        <w:rPr>
          <w:b/>
        </w:rPr>
        <w:t>E. 5.2</w:t>
      </w:r>
    </w:p>
    <w:p>
      <w:r>
        <w:t>Tout le dossier démontre que les trois importations qui font l’objet de la présente affaire ne sont pas des actes isolés mais s’inscrivent dans un trafic particulièrement actif et portant sur des quantités de grammes « à trois chiffres ». Cette enquête a fait découvrir aux policiers un nouveau système dans lequel les grossistes s’associent pour faire leurs commandes à plusieurs fournisseurs en Espagne, mutualisant ainsi les risques de perte. Les livraisons doivent être partagées mais sont plus fréquentes. Le prévenu a été un des fournisseurs de ce réseau bien organisé. Ce trafic a impressionné les policiers, qui ont conclu en ces termes leur rapport de synthèse : « pas de doute, au sein de la Brigade des stupéfiants de la Police de Lausanne, il y aura un avant et un après Lagune. Jamais nous n’avions mis sur écoute un réseau d’une telle ampleur, avec des ramifications aussi vastes, une telle organisation et autant d’arrivées de transporteurs de cocaïne. Les éléments constitutifs du trafic en bande et par métier (…) sont réunis sans équivoque par leur professionnalisme, leur capacité à réagir et à s’adapter à nos actions ainsi que leur partage des frais et des risques notamment en répartissant leur marchandise sur plusieurs transports. On peut d’ailleurs légitimement se demander si l’on n’est pas dans un cas correspondant au CP 260ter. (…) cette affaire aura permis d’interpeller 19 personnes, de saisir environ 4'280 grammes de cocaïne et plus de 25'000 francs. L’enquête a permis de révéler que l’entier du trafic portait sur plus de 23,5 kilos de cocaïne » (P. 24, p. 211). On lit également ce constat d’impuissance : « en quelque sorte, ce n’est donc pas l’arrestation des prévenus qui a mis fin à l’enquête mais l’épuisement de nos propres ressources » (P. 24, p. 12). Dans le cas d’espèce, et comme dans la plupart des cas de trafic de stupéfiants, les trafiquants ont plusieurs téléphones, cloisonnent leur utilisation en fonction de leurs destinataires (vie privée, vie professionnelle, contacts dans leur pays, contacts à l’étranger, etc.), changent fréquemment d’appareils et de cartes SIM, parlent en langage codé, utilisent des chauffeurs, des coursiers et des mules. Les trajets sont rôdés et adaptés à la situation (transports de drogue par voie terrestre en raison de l’absence de contrôle douaniers et retours en avion). Les livraisons se suivent à un rythme soutenu dans plusieurs villes de Suisse. Les quantités sont importantes et les niveaux de pureté élevés. Malgré les écoutes téléphoniques, ce n’est qu’après l’arrestation du prévenu, par pur hasard, à la douane du Col-France, que les policiers ont compris qui était « K [...] ». Les trafiquants – pratiquement tous Nigérians – ne collaborent pas ou peu. On en sait donc finalement peu sur leur fonctionnement, ce qui fait dire aux premiers juges que la circonstance de la bande « n’est pas suffisamment caractérisée » (jgt., p. 28). Si la bande paraît réalisée du côté des grossistes lorsqu’ils opèrent leur commande (P. 24, p. 10), on ne sait pas si de leur côté, les fournisseurs travaillaient ensemble. Il y avait plusieurs fournisseurs sollicités alternativement, dont deux principaux, un nommé B.________ et « K [...] », alias le prévenu. Les policiers exposent à ce sujet que « certaines conversations ont démontré le lien entre ces deux fournisseurs mais la nature exacte de leur relation n’a pas pu être clairement établie » (P. 24, p. 15). Au vu de ce qui précède, le jugement de première instance doit être confirmé sur ce point. En outre, la qualification de cas grave est déjà acquise, l’infraction portant sur une quantité de stupéfiants qui peut mettre en danger la santé de nombreuses personnes (art. 19 al. 2 let. a LStup). Une seconde qualification comme cas grave résultant de la bande n’influerait dès lors plus sur le cadre légal de la peine, mais uniquement sur la fixation de celle-ci dans le cadre prévu pour le cas grave, de sorte que sa portée serait modeste (TF 6S.398/2006 du 2 novembre 2006).</w:t>
      </w:r>
    </w:p>
    <w:p>
      <w:r>
        <w:rPr>
          <w:b/>
        </w:rPr>
        <w:t>E. 6</w:t>
      </w:r>
    </w:p>
    <w:p>
      <w:r>
        <w:t>Le prévenu conteste la quotité de la peine. Il fait valoir qu’il est un délinquant primaire, qu’il a certes été condamné en Espagne pour des violences commises sur sa compagne (P. 62), mais qu’il s’agirait d’un arrangement destiné à obtenir à celle-ci un permis de séjour de « femme battue ». Se fondant sur les seuls faits qu’il admet, il relève qu’il n’a agi qu’à une occasion, pour un gain modeste de 3'000 francs. Comparant son affaire avec des précédents, il estime qu’une peine de trois à quatre ans aurait été plus adéquate. La peine de sept ans compromettrait sa réinsertion. De son côté, le Ministère public estime que la peine est trop clémente, eu égard aux éléments à charge « retenus à juste titre ».</w:t>
      </w:r>
    </w:p>
    <w:p>
      <w:r>
        <w:rPr>
          <w:b/>
        </w:rPr>
        <w:t>E. 6.1</w:t>
      </w:r>
    </w:p>
    <w:p>
      <w:r>
        <w:t>L'art. 47 al. 1 CP, applicable en matière d’infractions à la LStup par renvoi de l’art. 26 LStup,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consid. 2.1 p. 19 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TF 6B_632/2014 du 27 octobre 2014 consid. 1.2 et les références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 15 mai 2013 consid. 2.1.1 et les références citées).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 et les références citées).</w:t>
      </w:r>
    </w:p>
    <w:p>
      <w:r>
        <w:rPr>
          <w:b/>
        </w:rPr>
        <w:t>E. 6.2</w:t>
      </w:r>
    </w:p>
    <w:p>
      <w:r>
        <w:t>L’absence d’antécédents – discutable dans le cas d’espèce, mais peu importe – est un élément neutre pour la fixation de la peine. Elle ne pourrait jouer un rôle que dans l’examen des conditions du sursis, si la quotité de la sanction était compatible avec cette mesure de clémence. Dans la mesure où il ne fait pas de doute que le prévenu n’a pas agi à une seule reprise, son deuxième argument tombe à faux. C'est bien dans trois importations qu'est impliqué le prévenu. Enfin, pour répondre au dernier argument de l'appelant, on rappellera que la comparaison des causes est rarement pertinente. Elle l’est d’autant moins en l’espèce que l’arrêt cité, soit la référence 2C_901/2014, rendu par la II e Cour de droit public du Tribunal fédéral, ne porte pas sur la question de la peine mais sur un refus de prolongation de titre de séjour, et qu’il en ressort incidemment que la prévenue n’avait qu’un rôle de mule. En l’espèce, le prévenu n’était pas une « mule » mais un fournisseur, disposé à se déplacer à l’occasion, livrant des quantités importantes à des grossistes en Suisse. Il ne collabore pas, niant l’évidence. S’il n’a jamais été arrêté, il est déjà un criminel professionnel et endurci. Il ne fait montre d’aucun repentir. En outre, alors qu’il dispose d’un titre de séjour en Espagne et affirme avoir légalement un travail dans ce pays, il s’est lancé dans le trafic de stupéfiants, ce qui démontre bien qu’il était uniquement mû par l’appât du gain facile et important et non par l’absence de perspectives d’avenir. Il est dès lors malvenu de se plaindre que la peine nuit à sa réinsertion. Enfin, il a fait l’objet d’une sanction disciplinaire durant sa détention (P. 51). Comme les premiers juges, l’on peine à trouver un élément à sa décharge. Sur le vu de ce qui précède, la peine de sept ans de privation de liberté prononcée par les premiers juges est adéquate et doit être confirmée.</w:t>
      </w:r>
    </w:p>
    <w:p>
      <w:r>
        <w:rPr>
          <w:b/>
        </w:rPr>
        <w:t>E. 7</w:t>
      </w:r>
    </w:p>
    <w:p>
      <w:r>
        <w:t>En définitive, l’appel d’A.________ et l’appel joint du Ministère public doivent être rejetés et le jugement attaqué intégralement confirmé. Vu l’issue de la cause, les frais d’appel doivent être mis par trois quarts à la charge d’A.________ (art. 428 al. 1 CPP), le solde étant laissé à la charge de l'Etat. Outre l’émolument d’arrêt, par 2’240 fr., ces frais comprennent l’indemnité allouée au défenseur d’office, par 3'317 fr. 75, TVA et débours compris, selon la liste d’opérations produite (P. 77). Le prévenu ne sera tenu de rembourser à l’Etat les trois quarts de l’indemnité en faveur de son défenseur d’office prévue ci-dessus que lorsque sa situation financière le permettra (art. 135 al. 4 et 426 al. 4 CPP). La Cour d’appel pénale appliquant les articles 40, 47, 50, 51, 69, 70 et 106 CP ; 19 al. 1 let. b, c, d et g et al. 2 let. a et 19a al. 1 LStup ; 398 ss CPP, prononce : I. L’appel et l’appel joint sont rejetés. II. Le jugement rendu le 5 juin 2015 par le Tribunal criminel de l’arrondissement de Lausanne est confirmé selon le dispositif suivant : " I. constate qu’A.________ s’est rendu coupable d’infraction grave et contravention à la Loi fédérale sur les stupéfiants ; II. condamne A.________ à une peine privative de liberté de 7 (sept) ans, sous déduction de 502 (cinq cent deux) jours de détention avant jugement, ainsi qu’à une amende de 200 fr. (deux cents francs), la peine privative de liberté de substitution en cas de non paiement fautif de l’amende étant fixée à 2 (deux) jours ; III. constate qu’A.________ a subi 6 (six) jours de détention dans des conditions de détention provisoire illicites et ordonne que 3 (trois) jours de détention soient déduits de la peine fixée au chiffre II. ci-dessus, à titre de réparation du tort moral ; IV. ordonne le maintien en détention d’A.________ pour des motifs de sûreté ; V. ordonne la confiscation et la dévolution à l’Etat du montant de 2'459 fr. 20 séquestré sous fiche n°57975 ; VI. ordonne la confiscation et la destruction des objets séquestrés sous fiche n°57852 ; VII. ordonne le maintien au dossier en tant que pièces à conviction des CD inventoriés sous fiche n°57894 ; VIII. arrête à 12'754 fr. 70, débours et TVA inclus, l’indemnité allouée à Me Claude Nicati, défenseur d’office d’A.________, étant précisé que celui-ci sera tenu de rembourser dite indemnité à l’Etat lorsque sa situation financière le permettra ; IX. met une partie des frais de la présente cause, qui incluent l’indemnité d’office allouée à Me Claude Nicati, par 40'903 fr. 65, à la charge d’A.________, le solde étant laissé à la charge de l’Etat. " III. La détention subie depuis le jugement de première instance est déduite. IV. Le maintien en détention d’A.________ à titre de sûreté est ordonné. V. Une indemnité de défenseur d'office pour la procédure d'appel d'un montant de 3'317 fr. 75 , TVA et débours inclus, est allouée à Me Claude Nicati. VI. Les frais d'appel, par 5'557 fr. 75, y compris l'indemnité allouée au défenseur d'office, sont mis par trois quarts à la charge d’A.________, le solde étant laissé à la charge de l’Etat. VII. A.________ ne sera tenu de rembourser à l’Etat les trois quarts de l’indemnité en faveur de son défenseur d’office prévue au chiffre V. ci-dessus que lorsque sa situation financière le permettra . La présidente :              La greffière : Du 4 novembre 2015 Le dispositif du jugement qui précède est communiqué à l’appelant et aux autres intéressés. La greffière : Du Le jugement qui précède, dont la rédaction a été approuvée à huis clos, est notifié, par l'envoi d'une copie complète, à : - Me Claude Nicati, avocat, (pour A.________), - Ministère public central, une copie du dispositif est adressée à : - Mme la Présidente du Tribunal criminel de l'arrondissement de Lausanne, - Mme la Procureure de l'arrondissement de Lausanne, - Ministère public de la Confédération,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