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417 vom 28. Mai 2015</w:t>
      </w:r>
    </w:p>
    <w:p>
      <w:r>
        <w:t>VD Tribunal cantonal, 2015-05-28, FR</w:t>
      </w:r>
    </w:p>
    <w:p>
      <w:r>
        <w:rPr>
          <w:b/>
        </w:rPr>
        <w:t xml:space="preserve">Quelle: </w:t>
      </w:r>
      <w:r>
        <w:t>https://mcp.opencaselaw.ch/entscheid/vd_findinfo_Jug___2015___417</w:t>
      </w:r>
    </w:p>
    <w:p>
      <w:r>
        <w:t>FR: VD_FINDINFO Jug / 2015 / 417 du 28 mai 2015</w:t>
      </w:r>
    </w:p>
    <w:p>
      <w:r>
        <w:t>IT: VD_FINDINFO Jug / 2015 / 417 del 28 maggio 2015</w:t>
      </w:r>
    </w:p>
    <w:p>
      <w:pPr>
        <w:pStyle w:val="Heading2"/>
      </w:pPr>
      <w:r>
        <w:t>Regeste</w:t>
      </w:r>
    </w:p>
    <w:p>
      <w:r>
        <w:t>CONSTATATION DES FAITS, FIXATION DE LA PEINE | 47 CP, 398 al. 1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2.5</w:t>
      </w:r>
    </w:p>
    <w:p>
      <w:r>
        <w:t>- communication avec E.________ - localisation à 23h12 à 160 mètres du lieu du vol Cas</w:t>
      </w:r>
    </w:p>
    <w:p>
      <w:r>
        <w:rPr>
          <w:b/>
        </w:rPr>
        <w:t>E. 2.6</w:t>
      </w:r>
    </w:p>
    <w:p>
      <w:r>
        <w:t>- communication avec E.________ - localisation à 23h22 et 23h23 à 450 mètres du lieu du vol Cas</w:t>
      </w:r>
    </w:p>
    <w:p>
      <w:r>
        <w:rPr>
          <w:b/>
        </w:rPr>
        <w:t>E. 2.7</w:t>
      </w:r>
    </w:p>
    <w:p>
      <w:r>
        <w:t>- communication avec E.________ - localisation entre 21h41 et 21h48 à 375 mètres du lieu du vol Cas</w:t>
      </w:r>
    </w:p>
    <w:p>
      <w:r>
        <w:rPr>
          <w:b/>
        </w:rPr>
        <w:t>E. 2.8</w:t>
      </w:r>
    </w:p>
    <w:p>
      <w:r>
        <w:t>- communication avec E.________ - localisation entre 21h41 et 21h48 à 500 mètres du lieu du vol Cas</w:t>
      </w:r>
    </w:p>
    <w:p>
      <w:r>
        <w:rPr>
          <w:b/>
        </w:rPr>
        <w:t>E. 2.9</w:t>
      </w:r>
    </w:p>
    <w:p>
      <w:r>
        <w:t>- communication avec E.________ - localisation à 22h11 à 800 mètres du lieu du vol en ce qui concerne l’appelant, d’autres communications entre les deux autres auteurs ont été localisées entre 400 et 450 mètres plus tard dans la nuit Cas</w:t>
      </w:r>
    </w:p>
    <w:p>
      <w:r>
        <w:rPr>
          <w:b/>
        </w:rPr>
        <w:t>E. 2.10</w:t>
      </w:r>
    </w:p>
    <w:p>
      <w:r>
        <w:t>- communication avec E.________ - localisation à 22h55 à 1200 mètres du lieu du vol Cas</w:t>
      </w:r>
    </w:p>
    <w:p>
      <w:r>
        <w:rPr>
          <w:b/>
        </w:rPr>
        <w:t>E. 2.11</w:t>
      </w:r>
    </w:p>
    <w:p>
      <w:r>
        <w:t>- communication avec E.________ - localisation de l’appelant à 20h35 et 22h53 à 190 mètres du lieu du vol Cas</w:t>
      </w:r>
    </w:p>
    <w:p>
      <w:r>
        <w:rPr>
          <w:b/>
        </w:rPr>
        <w:t>E. 2.12</w:t>
      </w:r>
    </w:p>
    <w:p>
      <w:r>
        <w:t>- communication avec E.________ - localisation de l’appelant entre 22h01 et 22h06 à 380 mètres du lieu du vol L’appelant fait valoir trois moyens à l’encontre de son implication dans ces délits : Dans un premier moyen, il fait valoir une erreur figurant dans le rapport de police du 26 février 2015 (P. 8, p. 2) où la désignation du boîtier téléphonique analysé s’effectue à la fois par le n° IMEI 351652069961301 et le même numéro sous réserve du dernier chiffre, le 1 étant remplacé par un 0, cette variation générant, selon lui, un doute sur toutes les indications rétroactives tirées de ce boîtier. En réalité, il s’agit là d’une simple erreur de plume, le numéro exact étant celui se terminant par 0, soit le n° IMEI 351652069961300, comme la pièce 11 le démontre. Cette erreur, aisément rectifiable, ne génère aucun doute. L’appelant se prévaut ensuite de l’absence de l’évocation de son nom lors de l’audition d’E.________ du 13 novembre 2014 (PV aud. 4), alors que ce dernier a usé de nombreux numéros de téléphones et a été en contact par téléphone avec de nombreuses personnes. Ce moyen n’est pas compréhensible. On ne discerne pas en quoi l’évocation de l’appelant devait nécessairement ressortir de cette audition, ni en quoi cette absence serait synonyme de doute sur sa culpabilité. Enfin, l’appelant invoque le fait qu’entendu comme témoin à l’audience de jugement, E.________ a nié le connaître. Or, au vu de leur collaboration telle qu’elle découle de leurs communications sur les lieux et aux heures des cambriolages, il ne fait aucun doute qu’E.________ a menti en déclarant ne pas le connaître. Le moyen, qui repose sur une fausse déposition, est donc sans valeur.</w:t>
      </w:r>
    </w:p>
    <w:p>
      <w:r>
        <w:rPr>
          <w:b/>
        </w:rPr>
        <w:t>E. 3</w:t>
      </w:r>
    </w:p>
    <w:p>
      <w:r>
        <w:t>L’appelant invoque une constatation incomplète et erronée des faits sur plusieurs points.</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L’appelant fait valoir que le témoin H.________ s’est rétracté aux débats de première instance et que les cas de recel décrits sous chiffre 2.1 ne peuvent ainsi lui être imputés. En l’espèce, dans son audition du 14 mars 2014 (dossier B, PV aud. 7, pp. 1 et 2), H.________ a mis en cause l’appelant qu’il hébergeait dans son appartement à [...] pour lui avoir remis divers objets provenant de cambriolages, soit six montres, une paire de lunettes, un appareil photo, une bague et un téléphone. Il a précisé que « U.________ », soit U.________, lui avait donné tous ces objets entre le dimanche et le lundi précédent. Entendu à nouveau à l’audience de jugement, en présence de l’appelant, H.________ a déclaré que les objets volés en question n’étaient pas en possession d’U.________ et qu’il avait uniquement hébergé celui-ci. Il a mis ses déclarations accusatoires antérieures sur le compte de la pression que les enquêteurs auraient exercée sur lui, expliquant « j’ai eu peur, j’ai donc dit n’importe quoi », puis par la suite « l’inspecteur m’a forcé à dire oui » (jgt., p. 4). Toutefois, à la lecture de procès-verbal du 14 mars 2014 dont H.________ a signé chaque page, aucune pression n’est perceptible. Au contraire, l’intéressé a immédiatement parlé d’« U.________ », identifié sur photo le matin même et à nouveau sur photo en cours d’audition, confirmant ainsi qu’il s’agissait bien de l’appelant, puis les objets volés et remis par lui ont été énumérés. A l’inverse, la rétraction de ces déclarations aux débats de première instance n’est pas cohérente. L’intéressé ne dit pas quelle autre personne lui aurait remis les objets volés et soutient de manière contradictoire, d’une part, qu’il a dit n’importe quoi par peur – mais alors pourquoi ne pas inventer une quelconque fable n’accusant aucun tiers déterminé – et, d’autre part, qu’il aurait été forcé par la police à dénoncer l’appelant. Ainsi, à l’instar des premiers juges, la Cour de céans considère la rétractation du témoin comme non crédible. L’appelant soutient ensuite que les mises en cause du témoin ne le désignent pas de manière univoque, mais que celui-ci, au fil de ces auditions, a donné plusieurs noms. Il est vrai que le témoin avait la réputation d’être en affaires avec des voleurs et qu’il a donné plusieurs noms, le cas échéant fantaisistes. En revanche, il a été parfaitement clair et affirmatif s’agissant des objets volés qu’il a désignés comme remis par l’appelant. Enfin, comme élément à charge, il faut également retenir la proximité physique entre l’appelant, qui a été hébergé, puis arrêté, dans l’appartement de H.________, et la présence dans ce même appartement du butin provenant de divers cambriolages. En définitive, on ne discerne aucune constatation erronée des faits s’agissant de ces épisodes de recel.</w:t>
      </w:r>
    </w:p>
    <w:p>
      <w:r>
        <w:rPr>
          <w:b/>
        </w:rPr>
        <w:t>E. 3.3</w:t>
      </w:r>
    </w:p>
    <w:p>
      <w:r>
        <w:t>L’appelant reproche aux premiers juges d’avoir retenu sa participation au vol décrit sous chiffre 2.2. Les premiers juges ont retenu que l’ADN de l’appelant avait été retrouvé sur un sachet utilisé par les cambrioleurs. Plus précisément, l’ADN de l’appelant a été retrouvé sur les anses d’un sac en plastique « Voegele shoes » oublié sur les lieux du vol et contenant un ticket de caisse relatif à un achat effectué environ deux heures avant le cambriolage (dossier A, P. 5 et 31). En dépit de cette preuve irréfutable le mettant en cause, l’appelant a nié toute implication dans ce délit, affirmant « quand je fais un cambriolage, je n’oublie rien du tout » (PV aud. 1, p. 2). Ses déclarations ne sont pas crédibles et on ne discerne pas en quoi l’état de fait serait erroné.</w:t>
      </w:r>
    </w:p>
    <w:p>
      <w:r>
        <w:rPr>
          <w:b/>
        </w:rPr>
        <w:t>E. 3.4</w:t>
      </w:r>
    </w:p>
    <w:p>
      <w:r>
        <w:t>L’appelant conteste avoir perpétré le vol décrit sous chiffre 2.3. Il fait valoir que les éléments retenus par les premiers juges seraient insuffisants pour l’impliquer dans le cambriolage. En l’espèce, les premiers juges ont retenu que l’implication de l’appelant dans ce vol tenait aux échanges téléphoniques qu’il avait eus avec les cambrioleurs aux environs de l’immeuble visité. Plus précisément, l’appelant était en compagnie de D.________ lorsqu’ils ont été tous deux interpellés le 4 septembre 2014 (P. 8 ; P. 31, p. 2). L’analyse du rétroactif de leurs téléphones portables a établi qu’ils ont été en contact une quinzaine de fois par jour durant les 35 jours précédents leur interpellation. Tous deux ont été localisés le 29 août 2014 dans le secteur du cambriolage entre 20h38 et 20h54 et ils sont brièvement entrés en contact à cinq reprises (P. 20, p. 2). Le prévenu a d’ailleurs soutenu ne pas connaître D.________, alors qu’il a été condamné le 11 juillet 2014 par le Ministère public fribourgeois notamment pour trois cambriolages commis avec celui-là en octobre et novembre 2013 (PV aud. 3, p. 2 ; P. 37). De plus, comme on le verra ci-dessous (cf. consid. 3.5), la géolocalisation des téléphones des deux comparses les incriminent dans une série de cambriolages commis à Neuchâtel et à Lausanne. Ces proximités répétées de temps et de lieux des mêmes équipiers qui communiquent entre eux sur des sites de différents cambriolages exclut qu’il s’agisse de simples hasards, leur présence étant manifestement en rapport avec la commission des délits. Ces preuves, suffisantes et irréfutables, établissent la culpabilité de l’appelant.</w:t>
      </w:r>
    </w:p>
    <w:p>
      <w:r>
        <w:rPr>
          <w:b/>
        </w:rPr>
        <w:t>E. 3.5</w:t>
      </w:r>
    </w:p>
    <w:p>
      <w:r>
        <w:t>L’appelant conteste avoir participé aux cas de vol décrits sous chiffres 2.5 à 2.12 (cf. acte d’accusation du 22 avril 2015). Commis à Neuchâtel et à Lausanne du 9 au 16 août 2014, ces huit cambriolages sont liés entre eux à cinq reprises par le mode d’entrée par effraction, soit le forcement d’une fenêtre dont l’imposte avait été laissée ouverte. L’enquête neuchâteloise a permis d’identifier E.________ comme étant l’un des voleurs par l’exploitation de son ADN et de ses traces de semelles dans les cas décrits sous chiffres 2.5, 2.6 et 2.8 (P. 8). De plus, le cambriolage exposé sous chiffre 2.7 a été commis la même nuit que celui décrit sous chiffre 2.6, dans la même rue, à une distance de 300 mètres, et une trace de semelle identique lie ces deux cas (P. 7). L’exploitation des contrôles téléphoniques effectués sur les téléphones portables de l’appelant et de D.________ a permis d’établir qu’ils étaient en communication avec E.________ lors des huit cambriolages précités. Le tableau ci-dessous résume ces résultats (cf. P. 8) : Cas</w:t>
      </w:r>
    </w:p>
    <w:p>
      <w:r>
        <w:rPr>
          <w:b/>
        </w:rPr>
        <w:t>E. 4</w:t>
      </w:r>
    </w:p>
    <w:p>
      <w:r>
        <w:t>L’appelant se plaint d’une violation de la présomption d’innocence.</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4.2</w:t>
      </w:r>
    </w:p>
    <w:p>
      <w:r>
        <w:t>Certes le jugement est peu développé, mais le détail des preuves qui forment un faisceau convergent résulte du dossier. Appréhendées globalement, les preuves ne laissent subsister aucun doute raisonnable quant à la culpabilité de l’intéressé. En particulier, les géolocalisations à proximité temporelle et spatiale des délits et des deux mêmes comparses écartent toute possibilité de coïncidence malheureuse. C’est donc à juste titre que les premiers juges ont reconnu U.________ coupable de vol en bande et par métier, dommages à la propriété, violation de domicile et recel.</w:t>
      </w:r>
    </w:p>
    <w:p>
      <w:r>
        <w:rPr>
          <w:b/>
        </w:rPr>
        <w:t>E. 5</w:t>
      </w:r>
    </w:p>
    <w:p>
      <w:r>
        <w:t>Vu l’issue de l’appel, la conclusion d’U.________ relative aux frais de première instance devient sans objet.</w:t>
      </w:r>
    </w:p>
    <w:p>
      <w:r>
        <w:rPr>
          <w:b/>
        </w:rPr>
        <w:t>E. 6</w:t>
      </w:r>
    </w:p>
    <w:p>
      <w:r>
        <w:t>L’appelant critique subsidiairement sa peine, qu’il estime trop sévère.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6.2</w:t>
      </w:r>
    </w:p>
    <w:p>
      <w:r>
        <w:t>En l’espèce, la culpabilité d’U.________ est lourde. Il s’est rendu coupable de vol en bande et par métier, dommages à la propriété, recel, violation de domicile et infraction à la LEtr. A charge, on retiendra qu’il a uniquement agi par appât du gain et qu’il est profondément ancré dans la délinquance, comme le montrent notamment son défaut de collaboration, son attitude durant l’enquête et aux débats de première instance, ainsi que son absence de prise de conscience et de regrets, en niant obstinément les faits. Enfin, il sera tenu compte de l’aggravante du métier et de la bande, du concours d’infractions et des lourds antécédents du prévenu, qui a été condamné à six reprises pour le même genre d’infractions en l’espace de trois années. Au vu des éléments qui précédent, de la culpabilité de l’appelant et de sa situation personnelle, la peine privative de liberté de 30 mois prononcée par les premiers juges est adéquate et doit être confirmée.</w:t>
      </w:r>
    </w:p>
    <w:p>
      <w:r>
        <w:rPr>
          <w:b/>
        </w:rPr>
        <w:t>E. 7</w:t>
      </w:r>
    </w:p>
    <w:p>
      <w:r>
        <w:t>En définitive, l’appel d’U.________ doit être rejeté et le jugement du Tribunal correctionnel de l'arrondissement de Lausanne du 28 mai 2015 intégralement confirmé. Vu l'issue de la cause, les frais d'appel doivent être mis à la charge d’U.________ (art. 428 al. 1 CPP). Outre l'émolument, qui se monte à 2’050 fr. (art. 21 al. 1 et 2 TFIP [Tarif des frais de procédure et indemnités en matière pénale du 28 septembre 2010; RSV 312.03.1]), ces frais comprennent l’indemnité allouée au défenseur d’office de l'appelant. S’agissant de l’indemnité d’office, Me Cinzia Petito a produit une liste d’opérations faisant état de 19 heures et 55 minutes d’activité (P. 65).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de 14 heures d’activité. C’est donc une indemnité de 3'157 fr. 90, correspondant à 14 heures à 180 fr., trois vacations de 120 fr. et 44 fr. de débours, plus la TVA, qui doit être allouée au défenseur d’office de l’appelant pour la procédure d’appel. U.________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