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416 vom 18. Mai 2015</w:t>
      </w:r>
    </w:p>
    <w:p>
      <w:r>
        <w:t>VD Tribunal cantonal, 2015-05-18, FR</w:t>
      </w:r>
    </w:p>
    <w:p>
      <w:r>
        <w:rPr>
          <w:b/>
        </w:rPr>
        <w:t xml:space="preserve">Quelle: </w:t>
      </w:r>
      <w:r>
        <w:t>https://mcp.opencaselaw.ch/entscheid/vd_findinfo_Jug___2015___416</w:t>
      </w:r>
    </w:p>
    <w:p>
      <w:r>
        <w:t>FR: VD_FINDINFO Jug / 2015 / 416 du 18 mai 2015</w:t>
      </w:r>
    </w:p>
    <w:p>
      <w:r>
        <w:t>IT: VD_FINDINFO Jug / 2015 / 416 del 18 maggio 2015</w:t>
      </w:r>
    </w:p>
    <w:p>
      <w:pPr>
        <w:pStyle w:val="Heading2"/>
      </w:pPr>
      <w:r>
        <w:t>Regeste</w:t>
      </w:r>
    </w:p>
    <w:p>
      <w:r>
        <w:t>EXCÈS DE VITESSE, CAS GRAVE | 47 CP, 90 ch. 2 LCR</w:t>
      </w:r>
    </w:p>
    <w:p>
      <w:pPr>
        <w:pStyle w:val="Heading2"/>
      </w:pPr>
      <w:r>
        <w:t>Erwägungen</w:t>
      </w:r>
    </w:p>
    <w:p>
      <w:r>
        <w:rPr>
          <w:b/>
        </w:rPr>
        <w:t>E. 1</w:t>
      </w:r>
    </w:p>
    <w:p>
      <w:r>
        <w:t>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 3.1).</w:t>
      </w:r>
    </w:p>
    <w:p>
      <w:r>
        <w:rPr>
          <w:b/>
        </w:rPr>
        <w:t>E. 1.1</w:t>
      </w:r>
    </w:p>
    <w:p>
      <w:r>
        <w:t>et 1.3, ainsi que les arrêts cités ; TF 6B_1011/2013 du 13 mars 2014 consid. 2.1 ; Bussy et al., Code suisse de la circulation routière commenté, 4 e éd., Bâle 2015, n. 8 ad art. 16 ss LCR et n. 3.10.3.1 ad art. 32 LCR).</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w:t>
      </w:r>
    </w:p>
    <w:p>
      <w:r>
        <w:rPr>
          <w:b/>
        </w:rPr>
        <w:t>E. 2.1</w:t>
      </w:r>
    </w:p>
    <w:p>
      <w:r>
        <w:t>L’appelant ne remet pas en question l’excès de vitesse qui lui est reproché. Il conteste en revanche que celui-ci soit qualifié de grave.</w:t>
      </w:r>
    </w:p>
    <w:p>
      <w:r>
        <w:rPr>
          <w:b/>
        </w:rPr>
        <w:t>E. 2.2</w:t>
      </w:r>
    </w:p>
    <w:p>
      <w:r>
        <w:t>Aux termes de l’art. 90 al. 2 LCR (Loi fédérale sur la circulation routière du 19 décembre 1958 ; RS 741.01), celui qui, par une violation grave d'une règle de la circulation, crée un sérieux danger pour la sécurité d'autrui ou en prend le risque est puni d'une peine privative de liberté de trois ans au plus ou d'une peine pécuniaire. Selon l’art. 4a al. 1 OCR (Ordonnance sur les règles de la circulation routière du 13 novembre 1962 ; RS 741.11), la vitesse maximale générale des véhicules peut atteindre, lorsque les conditions de la route, de la circulation et de visibilité sont favorables, 50 km/h dans les localités (let. a), 80 km/h hors de localités, à l’exception des semi-autoroutes et des autoroutes (let. b), 100 km/h sur les semi-autoroutes (let. c) et 120 km/h sur les autoroutes (let. d). L’art. 4a al. 5 OCR prescrit que lorsque des signaux indiquent d'autres vitesses maximales, celles-ci sont applicables en lieu et place des limitations générales de vitesse. L'infraction réprimée par l'art. 90 al. 2 LCR est objectivement réalisée lorsque l'auteur viole grossièrement une règle fondamentale de la circulation et met ainsi sérieusement en danger la sécurité d'autrui; une mise en danger abstraite accrue est toutefois suffisante.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 90 al. 2 LCR implique à tout le moins une négligence grossière (ATF 131 IV 133 consid. 3.2, JdT 2005 I 466).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Le Tribunal fédéral a régulièrement nié l'existence de telles circonstances à décharge (TF 6B_3/2014 du 28 avril 2014 consid.</w:t>
      </w:r>
    </w:p>
    <w:p>
      <w:r>
        <w:rPr>
          <w:b/>
        </w:rPr>
        <w:t>E. 2.3</w:t>
      </w:r>
    </w:p>
    <w:p>
      <w:r>
        <w:t>En l’espèce, l’appelant circulait à 96 km/h sur un tronçon d’autoroute où la vitesse, en dérogation à la règle générale de 120 km/h, était limitée à 60 km/h. La limite du cas grave au sens de l’art. 90 al. 2 LCR est manifestement dépassée. Le premier juge a en outre pris en considération la réduction de vitesse imposée par les travaux par rapport à la vitesse ordinaire sur autoroute en tenant compte, à juste titre, de la limite du cas grave relative aux dépassements hors localités. Au regard de l’importance de la limitation de vitesse et de la dangerosité inhérente au pont provisoire, on ne saurait soutenir qu’il eut été nécessaire de tenir compte de la limite du cas grave applicable aux autoroutes. Au demeurant, le cas grave serait réalisé même dans cette hypothèse.</w:t>
      </w:r>
    </w:p>
    <w:p>
      <w:r>
        <w:rPr>
          <w:b/>
        </w:rPr>
        <w:t>E. 2.4</w:t>
      </w:r>
    </w:p>
    <w:p>
      <w:r>
        <w:t>S’agissant de l'aspect subjectif de l'infraction, l’appelant affirme n’avoir pas agi intentionnellement et soutient que seule une inattention, tout au plus légère, pourrait lui être reprochée.</w:t>
      </w:r>
    </w:p>
    <w:p>
      <w:r>
        <w:rPr>
          <w:b/>
        </w:rPr>
        <w:t>E. 2.4.1</w:t>
      </w:r>
    </w:p>
    <w:p>
      <w:r>
        <w:t>L’appelant fait valoir en particulier que les panneaux de limitation de vitesse n’auraient pas été suffisamment visibles. En l’occurrence, l’appréciation du premier juge, à laquelle la cour de céans se réfère intégralement (jugement, p. 7) ne porte pas le flanc à la critique. Au vu notamment du nombre d’indications disposées des deux côtés de la route en amont du pont provisoire, du rétrécissement de la chaussée et du fait que le premier panneau indiquant une limitation de vitesse à 60 km/h était de surcroît mis en évidence par un signal lumineux, les déclarations de l’appelant ne sont guère crédibles. Force est de considérer qu’en dépassant de 36 km/h la vitesse autorisée, le prévenu a agi intentionnellement ou à tout le moins par négligence grossière.</w:t>
      </w:r>
    </w:p>
    <w:p>
      <w:r>
        <w:rPr>
          <w:b/>
        </w:rPr>
        <w:t>E. 2.4.2</w:t>
      </w:r>
    </w:p>
    <w:p>
      <w:r>
        <w:t>L’appelant soutient en dernier lieu qu’il n’y aurait pas eu de mise en danger et fait valoir qu’il n’y aurait pas eu de travaux ce soir-là, la circulation étant par ailleurs fluide. Peu importe dans le cas d’espèce, compte tenu du caractère contraignant des limites de vitesse évoqué précédemment. Nonobstant l’absence d’ouvriers à cette heure tardive, il n’est au surplus pas exact qu’un passage à cette vitesse sur un chantier et notamment un pont provisoire ne serait pas constitutif d’un danger pour la circulation, ne serait-ce qu’au regard de la pente que comporte un tel ouvrage. Dans de telles circonstances, aucun des arguments de l’appelant ne saurait être retenu.</w:t>
      </w:r>
    </w:p>
    <w:p>
      <w:r>
        <w:rPr>
          <w:b/>
        </w:rPr>
        <w:t>E. 2.5</w:t>
      </w:r>
    </w:p>
    <w:p>
      <w:r>
        <w:t>Au vu des éléments qui précèdent, c’est à juste titre que l’appelant a été condamné pour violation grave des règles de la circulation routière au sens de l’art. 90 ch. 2 LCR, les conditions de cette infraction étant réunies objectivement et subjectivement.</w:t>
      </w:r>
    </w:p>
    <w:p>
      <w:r>
        <w:rPr>
          <w:b/>
        </w:rPr>
        <w:t>E. 3.1</w:t>
      </w:r>
    </w:p>
    <w:p>
      <w:r>
        <w:t>L’appelant soutient que la peine qui lui a été infligée serait trop sévère. Elle ne tiendrait pas compte du fait que son casier judiciaire est vierge et que le registre ADMAS ne comporte aucune inscription à son sujet.</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w:t>
      </w:r>
    </w:p>
    <w:p>
      <w:r>
        <w:rPr>
          <w:b/>
        </w:rPr>
        <w:t>E. 3.3</w:t>
      </w:r>
    </w:p>
    <w:p>
      <w:r>
        <w:t>En l’espèce, le premier juge a pris en considération l’absence d’antécédent de l’appelant, élément pourtant neutre en soi (ATF 136 IV 1), et le fait qu’il avait admis l’excès de vitesse qui lui était reproché. Il a tenu compte, à sa charge, de l’importance de cet excès. A cet élément, il convient d’ajouter la configuration dangereuse des lieux. La peine pécuniaire ainsi que l’amende prononcées apparaissent ainsi adéquates et doivent être confirmées. La quotité du jour-amende est adaptée à la situation économique de l’appelant et tient compte en particulier de la saisie de salaire dont il fait l’objet (jugement, p. 10).</w:t>
      </w:r>
    </w:p>
    <w:p>
      <w:r>
        <w:rPr>
          <w:b/>
        </w:rPr>
        <w:t>E. 4</w:t>
      </w:r>
    </w:p>
    <w:p>
      <w:r>
        <w:t>En définitive, l'appel de C.________ doit être rejeté et le jugement de première instance intégralement confirmé.</w:t>
      </w:r>
    </w:p>
    <w:p>
      <w:r>
        <w:rPr>
          <w:b/>
        </w:rPr>
        <w:t>E. 5</w:t>
      </w:r>
    </w:p>
    <w:p>
      <w:r>
        <w:t>Vu l'issue de la cause, les frais de la procédure d'appel, par 1’170 fr., constitués en l’espèce de l'émolument d’arrêt (art. 21 al. 1 et 2 TFIP [Tarif des frais de procédure et indemnités en matière pénale du 28 septembre 2010 ; RSV 312.03.1]), seront mis à la charge de C.________, qui succombe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