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415 vom 20. Oktober 2015</w:t>
      </w:r>
    </w:p>
    <w:p>
      <w:r>
        <w:t>VD Tribunal cantonal, 2015-10-20, FR</w:t>
      </w:r>
    </w:p>
    <w:p>
      <w:r>
        <w:rPr>
          <w:b/>
        </w:rPr>
        <w:t xml:space="preserve">Quelle: </w:t>
      </w:r>
      <w:r>
        <w:t>https://mcp.opencaselaw.ch/entscheid/vd_findinfo_Jug___2015___415</w:t>
      </w:r>
    </w:p>
    <w:p>
      <w:r>
        <w:t>FR: VD_FINDINFO Jug / 2015 / 415 du 20 octobre 2015</w:t>
      </w:r>
    </w:p>
    <w:p>
      <w:r>
        <w:t>IT: VD_FINDINFO Jug / 2015 / 415 del 20 ottobre 2015</w:t>
      </w:r>
    </w:p>
    <w:p>
      <w:pPr>
        <w:pStyle w:val="Heading2"/>
      </w:pPr>
      <w:r>
        <w:t>Regeste</w:t>
      </w:r>
    </w:p>
    <w:p>
      <w:r>
        <w:t>BLANCHIMENT D'ARGENT, PAR MÉTIER, SURSIS À L'EXÉCUTION DE LA PEINE, FRAIS DE LA PROCÉDURE, UTILISATION FRAUDULEUSE D'UN ORDINATEUR, COMPLICITÉ, FIXATION DE LA PEINE, RECEL, PEINE PÉCUNIAIRE, PEINE COMPLÉMENTAIRE | 147 al. 2 CP, 147 CP, 160 ch. 1 CP, 160 ch. 2 CP, 160 CP, 25 CP, 305bis CP, 34 al. 2 CP, 42 al. 1 CP, 43 al. 1 CP, 47 al. 1 CP, 47 CP, 425 CPP (CH)</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2.1</w:t>
      </w:r>
    </w:p>
    <w:p>
      <w:r>
        <w:t>L’appelant nie ensuite s’être rendu coupable de blanchiment d’argent, contestant que les éléments constitutifs de cette infraction soient réalisés. Aux termes de l'art. 305 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2.1.1</w:t>
      </w:r>
    </w:p>
    <w:p>
      <w:r>
        <w:t>Le Parquet conteste le caractère complémentaire de la peine prononcée le 29 avril 2015 par rapport à celle l’ayant été le 18 août 2010; selon lui, cette peine-là devrait être indépendante de celle-ci (déclaration d’appel joint, ch. 2, p 3).</w:t>
      </w:r>
    </w:p>
    <w:p>
      <w:r>
        <w:rPr>
          <w:b/>
        </w:rPr>
        <w:t>E. 2.1.2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2.1.3</w:t>
      </w:r>
    </w:p>
    <w:p>
      <w:r>
        <w:t>Le cas – normal – de concours réel rétrospectif se présente lorsque le prévenu,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TF 6B_28/2008 du 10 avril 2008 consid. 3.3.2; CAPE 1 er avril 2015/114 consid. 7.2.2).</w:t>
      </w:r>
    </w:p>
    <w:p>
      <w:r>
        <w:rPr>
          <w:b/>
        </w:rPr>
        <w:t>E. 2.1.4</w:t>
      </w:r>
    </w:p>
    <w:p>
      <w:r>
        <w:t>Quant au caractère complémentaire de la peine, s’agissant ici d’infractions de même genre, le critère déterminant est la date du jugement condamnatoire antérieur entré en force par rapport à celle de la dernière infraction à réprimer dans la nouvelle procédure. La date déterminante est celle du prononcé de jugement, et non celle de son entrée en force (JdT 2013 IV 63 consid. 3.4.2 et 3; Favre/Pellet/Stoudmann, op. cit., n. 2.2 ad art. 49 CP). En revanche, pour fixer la quotité de la peine complémentaire, c’est le jugement entré en force dans la première procédure qui est déterminant (arrêt précité, ibid.). En cas de jugement par défaut, mis à néant et remplacé par un nouveau jugement, comme dans le cas d’espèce, c’est dès lors bien la date du jugement remplaçant qui est déterminante pour juger du caractère complémentaire de la peine, et non celle du jugement antérieur par défaut qui n’existe plus.</w:t>
      </w:r>
    </w:p>
    <w:p>
      <w:r>
        <w:rPr>
          <w:b/>
        </w:rPr>
        <w:t>E. 2.1.5</w:t>
      </w:r>
    </w:p>
    <w:p>
      <w:r>
        <w:t>Les actes punissables du prévenu ont été perpétrés entre le 23 juillet et le 31 décembre 2009, soit durant le second semestre 2009. Les premiers juges ont arrêté la peine privative de liberté à 22 mois, peine complémentaire à celle de 30 mois infligée le 18 août 2010 par le Tribunal correctionnel de l’Est vaudois. Le Ministère public fait valoir que la peine à infliger devrait être plus élevée, dès lors qu’elle ne saurait être complémentaire à celle prononcée le 18 août 2010, mais bien plutôt indépendante de celle-ci. Il soutient que cette dernière condamnation remplacerait celle prononcée par défaut le 16 juin 2009. Comme déjà relevé, le jugement 18 août 2010 remplaçant celui rendu par défaut le 16 juin 2009 est entré en force de chose jugée; c’est cette date-là qui est déterminante pour juger du caractère complémentaire de la peine à prononcer en appel. Le dernier acte incriminé dans la présente procédure remonte au 31 décembre 2009. Les faits ici en cause sont donc exclusivement antérieurs à la précédente condamnation, d’où le caractère entièrement complémentaire de la nouvelle peine par rapport à l’ancienne. En cas de concours simultané, le prévenu aurait été condamné à une peine privative de liberté de 52 mois. La présente peine étant de 22 mois, l'auteur n’est ainsi pas puni plus sévèrement que si les diverses infractions avaient fait l'objet d'un seul jugement. Cela étant, c’est à bon droit qu’une peine complémentaire a été prononcée. 3. Quant à la quotité du jour-amende, le prononcé d'une peine pécuniaire modique est possible à l'encontre des personnes ne réalisant qu'un faible revenu ou qui sont démunies, tels les bénéficiaires de l'aide sociale, les personnes sans activité professionnelle, celles qui s'occupent du ménage ou encore les étudiants (ATF 134 IV 97 consid. 5.2.3). Le Tribunal fédéral a considéré que, même s'agissant des auteurs les plus démunis, le montant du jour-amende devait atteindre la somme de 10 fr., faute de quoi la peine pécuniaire n'aurait plus qu'une valeur symbolique (ATF 135 IV 180 consid. 1.4.2, précisant ATF 134 IV 60 consid. 6.5.2). Dans le cas particulier, le montant du jour-amende à</w:t>
      </w:r>
    </w:p>
    <w:p>
      <w:r>
        <w:rPr>
          <w:b/>
        </w:rPr>
        <w:t>E. 2.2</w:t>
      </w:r>
    </w:p>
    <w:p>
      <w:r>
        <w:t>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1376 IV 188 consid. 6.1 p. 191; ATF 128 IV 117 consid. 7a p. 131). Tombe sous le coup de l'art. 305 bis CP le placement d'argent provenant d'une infraction qualifiée à la LStup, chaque fois que le mode ou la manière d'opérer ne peut être assimilé au simple versement d'argent liquide sur un compte (ATF 119 IV 241 consid. 1d pp. 244 ss). Est un acte d'entrave notamment le recours au change, qu'il s'agisse de convertir les billets dans une monnaie étrangère ou d'obtenir des coupures de montants différents (ATF 136 IV 188 consid. 6.1 p. 191). En revanche, un simple versement d'argent provenant d'un trafic de drogue sur un compte bancaire personnel, ouvert au lieu de son domicile et servant aux paiements privés habituels, ne constitue pas un acte d'entrave (ATF 124 IV 274 consid. 4a pp. 278 s.), pas plus que la simple possession ou garde d'argent de provenance délictueuse (ATF 128 IV 117 consid. 7a pp. 131 s.). Commet toutefois un acte d'entrave, celui qui conserve de l'argent d'origine criminelle dans son appartement, lorsqu'il résulte des circonstances qu'il a mis ce lieu à disposition pour qu'il serve de cachette provisoire à l'argent (arrêts 6B_1021/2008 du 20 mai 2009 consid. 2; 6S.702/2000 du 14 août 2002 consid. 2.2). Le concours parfait est possible entre les infractions de recel et de blanchiment d’argent (ATF 127 IV 79 consid. 2e), les intérêts juridiques protégés étant différents : la protection du patrimoine dans le recel, celle de l’administration de la justice dans le blanchiment.</w:t>
      </w:r>
    </w:p>
    <w:p>
      <w:r>
        <w:rPr>
          <w:b/>
        </w:rPr>
        <w:t>E. 2.3</w:t>
      </w:r>
    </w:p>
    <w:p>
      <w:r>
        <w:t>En l’espèce selon les faits énoncés au chiffre 2.2.3 ci-dessus, le CCP de l’appelant a été crédité de 122'127 fr. 25 par des débits frauduleux du compte UBS de la plaignante. Le blanchiment a consisté, pour l’appelant, à retirer l’argent déposé sur son compte et provenant du crime d’utilisation frauduleuse d’un ordinateur pour le remettre en liquide à K.________, auteur du crime préalable, pour qu’elle en dispose en le dépensant elle-même ou pour dépenser ce butin avec elle. Le retrait en espèces des avoirs déposés sur un compte bancaire est un acte d’entrave, car il est propre à entraver la confiscation desdits avoirs, qui ne pourront plus être surveillés à l’aide de documents bancaires, la trace documentaire (« papertrail ») étant ainsi interrompue (cf. l’avis de doctrine résumé in : Dupuis/ Geller/Monnier/Moreillon/Piguet/Bettex/Stoll [éd.], Petit commentaire CP, Bâle 2012, n. 29 ad art. 305 bis CP). Cet avis convaincant doit être suivi et la réalisation de l’infraction confirmée. L’infraction est intentionnelle, le dol éventuel suffisant à la réaliser. L’appelant avait laissé utiliser son compte à dessein de dissimulation des fonds détournés. Il ne pouvait ignorer que convertir ces dépôts en retraits d’argent liquide rendrait plus difficile la recherche et la saisie de cet argent. L’élément subjectif de l’infraction est donc réalisé.</w:t>
      </w:r>
    </w:p>
    <w:p>
      <w:r>
        <w:rPr>
          <w:b/>
        </w:rPr>
        <w:t>E. 3</w:t>
      </w:r>
    </w:p>
    <w:p>
      <w:r>
        <w:t>L’appelant conteste ensuite l’aggravante du métier, retenue au regard des deux infractions réprimées, soit celles de recel et de blanchiment d’argent.</w:t>
      </w:r>
    </w:p>
    <w:p>
      <w:r>
        <w:rPr>
          <w:b/>
        </w:rPr>
        <w:t>E. 3.1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p. 31; Niggli/Riedo, in : Basler Kommentar, Strafrecht II, 2 e éd. 2013, no 100 ad art. 139 CP; Hurtado Pozo, Droit pénal, Partie spéciale, 2009, no 930). C'est l'inclination de l'auteur à agir à l'égard d'un nombre indéterminé de personnes ou à chaque fois que se présente une occasion qui justifie la peine aggravée (ATF 86 IV 10 consid. a p. 10 s.). Comme le vol, le recel par métier (art. 160 ch. 2 CP) est puni d'une peine privative de liberté de dix ans au plus ou d'une peine pécuniaire de 90 jours-amende au moins. Contrairement à la circonstance qualifiée prévue en matière de stupéfiants et de blanchiment d'argent (art. 19 al. 2 let. c LStup; art. 305 bis ch. 2 let. c CP; cf. ATF 129 IV 188 consid. 3.1.2 pp. 190 ss), l'aggravation du recel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129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w:t>
      </w:r>
    </w:p>
    <w:p>
      <w:r>
        <w:rPr>
          <w:b/>
        </w:rPr>
        <w:t>E. 3.2</w:t>
      </w:r>
    </w:p>
    <w:p>
      <w:r>
        <w:t>En l’espèce, comme le jugement le démontre, le recel par métier est réalisé s’agissant des 113'315 fr. de factures et de dépenses du couple payées au moyen de l’argent débité illicitement du compte de l’employeur de la concubine de l’appelant. Sur la période légèrement inférieure à la durée du second semestre 2009, cet apport malhonnête au train de vie du couple a représenté plus de 20'500 fr. par mois en moyenne, alors que les gains mensuels licites de l’appelant auraient été de 7'800 fr. à ses dires, sans que leur réalité soit dûment établie. L’appelant conteste le métier en faisant valoir que tout son comportement de receleur découlerait de la décision unique de se soumettre une fois pour toutes à la volonté criminelle, de sa concubine d’alors. Ce point de vue ne saurait être suivi. L’infraction de recel a été commise chaque fois qu’il a économiquement profité de biens ou de services acquis au moyen de l’argent détourné en continu par sa compagne, étant précisé que celle-ci a débité le compte bancaire de son employeur d’alors non seulement pour régler ses propres achats (dont l’appelant pouvait profiter), mais aussi les achats directement effectués par son partenaire, qui excédaient de beaucoup les moyens disponibles licites de ce dernier (cf. ch. 2.2.2 de la partie faits). Seule l’action pénale a mis un terme à ce recel érigé en mode de vie. En plaidoirie, l’appelant a soutenu que l’aggravante du métier serait exclue subjectivement du fait qu’il n’y avait eu qu’un seul lésé, à savoir l’employeur de sa concubine lors des faits. Comme la doctrine l’indique expressément, cette circonstance n’est pourtant pas de nature à exclure l’aggravante (cf. Favre/Pellet/ Stoudmann, Code pénal annoté, 3 e éd., Lausanne 2007/2011, n. 1.6 ad art. 27 CP). Ainsi,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 TF 6B_1153/2014 du 16 mars 2015; CAPE 13 mai 2015/183 consid. 6.1). Dans le cas d’espèce, aucune circonstance particulière ne porte à croire que les infractions étaient dirigées spécifiquement contre l’employeur d’alors de la concubine de l’appelant, lequel aurait aussi bien pu s’en prendre à toute autre victime qui se serait trouvée dans une situation similaire. L’aggravante doit donc être confirmée quant à l’infraction de recel. Il en va de même du blanchiment par métier. En effet, d’abord, l’appelant a directement profité des montants convertis en liquide à concurrence de 122'127 fr. 25 et donc ainsi blanchis au sens légal. Ensuite, la jurisprudence retient un gain important dès 10'000 fr. et un chiffre d’affaires important à partir de 100'000 fr. (cf. les décisions citées in : Dupuis et alii, op. cit., n. 45 ad art. 305 bis CP) et ces seuils sont dépassés en l’espèce.</w:t>
      </w:r>
    </w:p>
    <w:p>
      <w:r>
        <w:rPr>
          <w:b/>
        </w:rPr>
        <w:t>E. 4</w:t>
      </w:r>
    </w:p>
    <w:p>
      <w:r>
        <w:t>L’appelant conclut ensuite à ce que la peine privative de liberté et la peine pécuniaire soient assorties du sursis. Revenant sur sa séparation d’avec sa concubine, sa tentative de suicide et son hospitalisation, il soutient qu’il aurait, lors des faits, été soumis à l’emprise de sa compagne au point de ne pouvoir s’opposer à sa propre implication dans les entreprises criminelles de celle-ci, pour en déduire que ces circonstances imposeraient un pronostic favorable. Le profit tiré par l’appelant des infractions de sa concubine l’a été sciemment pour des sommes significatives et de manière récurrente. L’argumentation de l’appelant revient à soutenir qu’il n’est plus susceptible de commettre des infractions patrimoniales dès lors que K.________ ne partage plus sa vie. Suivre cette thèse reviendrait à pronostiquer que le prévenu retombera dans la délinquance s’il croise à nouveau la route d’une femme dominatrice et malhonnête. Or ces prétendues faiblesse et difficulté à réagir et à repousser immédiatement des propositions délictueuses ne permettent pas de poser un pronostic favorable. De plus, cette tentative de défense montre une nette propension du prévenu à rejeter sa propre faute sur autrui alors qu’il a bien et longuement profité du butin, ce qui ne permet pas d’identifier une véritable prise de conscience et constitue donc un élément supplémentaire de mauvais pronostic. Le comportement de non collaboration adopté en libération conditionnelle ne s’inscrit pas non plus dans une projection favorable. Enfin, l’appelant, de manière générale, reproche à la justice et aux autorités de prétendus manquements à son égard pour mieux refuser tout examen de conscience et tout auto-jugement négatif. Cet état d’esprit ne peut que le mener à enfreindre à nouveau la loi, s’agissant en particulier d’infractions contre le patrimoine. Le pronostic est donc défavorable. De toute manière, s’agissant d’un concours rétrospectif, comme on le verra plus en détail au considérant III.2.1.5 ci-dessous, la peine privative de liberté ici en cause, de 22 mois, est complémentaire à celle de 30 mois prononcée le 18 août 2010, de sorte que c‘est la durée totale des deux peines additionnées qui est déterminante sous l’angle du sursis (cf. Dupuis et alii, op. cit., n. 7 ad art. 42 CP). La libération conditionnelle de l’exécution de la peine privative de liberté prononcée le 18 août 2010 n’y change rien, dès lors que la durée de la peine pouvant être assortie du sursis est celle qui est prononcée par le juge, et non celle qui doit encore être purgée (op. cit., ibid.). Or, à teneur des art. 42 al. 1 et 43 al. 1 CP, cette quotité d’ensemble de 52 mois exclut objectivement tant le sursis ordinaire (limité aux peines privatives de liberté de 24 mois au plus) que le sursis partiel (limité aux peines privatives de liberté de 36 mois au plus). Le refus du sursis, même partiel, doit donc être confirmé.</w:t>
      </w:r>
    </w:p>
    <w:p>
      <w:r>
        <w:rPr>
          <w:b/>
        </w:rPr>
        <w:t>E. 5</w:t>
      </w:r>
    </w:p>
    <w:p>
      <w:r>
        <w:t>Quant à la quotité de la peine privative de liberté, si, à première vue, le quantum peut paraître relativement élevé s’agissant d’une sanction complémentaire à celle de 30 mois infligée en 2010 et réprimant des faits remontant au second semestre 2009, donc déjà relativement anciens, il n’en reste cependant pas moins que la durée, la répétition et l’importance économique des actes commis, ainsi que la culpabilité – l’appelant se savait visé alors par la justice pénale puisqu’il avait fait défaut à une audience de jugement d’infractions patrimoniales en juin 2009 (jugement p. 5) –, la justifient au vu des critères déterminants selon l’art. 47 al. 1 CP. De même, sous l’angle de l’art. 48 CP, le profit tiré par l’appelant des infractions de sa concubine, soit son propre mobile crapuleux, se heurte à la prétendue emprise affective à laquelle il aurait été soumis, soit l’ascendant et la dépendance au sens légal (art. 48 let. a CP), comme cela a été exposé sous chiffre 4 ci-dessus.</w:t>
      </w:r>
    </w:p>
    <w:p>
      <w:r>
        <w:rPr>
          <w:b/>
        </w:rPr>
        <w:t>E. 6</w:t>
      </w:r>
    </w:p>
    <w:p>
      <w:r>
        <w:t>L’appelant demande enfin une réduction des frais mis à sa charge pour favoriser sa réinsertion sociale.</w:t>
      </w:r>
    </w:p>
    <w:p>
      <w:r>
        <w:rPr>
          <w:b/>
        </w:rPr>
        <w:t>E. 6.1</w:t>
      </w:r>
    </w:p>
    <w:p>
      <w:r>
        <w:t>L’art. 425 CPP dispose que l'autorité pénale peut accorder un sursis pour le paiement des frais de procédure. Elle peut réduire ou remettre les frais compte tenu de la situation de la personne astreinte à les payer. En cette matière, le juge dispose d’un large pouvoir d’appréciation (Moreillon/Parein-Reymond, Petit commentaire CPP, Bâle 2013, n. 3 ad art. 425 CPP).</w:t>
      </w:r>
    </w:p>
    <w:p>
      <w:r>
        <w:rPr>
          <w:b/>
        </w:rPr>
        <w:t>E. 6.2</w:t>
      </w:r>
    </w:p>
    <w:p>
      <w:r>
        <w:t>Les frais mis à la charge de l’appelant par les premiers juges se montent à 57'629 fr. 05. Certes l’appelant serait actuellement à l’aide sociale. Il a néanmoins soutenu s’être toujours procuré de quoi vivre confortablement en exerçant une activité lucrative (jugement, p. 6) et surtout avoir remboursé l’entier de ses dettes, hormis un montant résiduel de 5'000 fr. à 6'000 fr., ce qui constitue un endettement réduit (jugement, p. 7). Au vu de cette situation, on ne discerne pas en quoi les frais de justice, certes importants, mais payables en dix ans avant d’être prescrits (art. 442 al. 2 CPP) et dont la part afférente aux frais de défense d’office ne sera exigible qu’en cas de retour à meilleure fortune (art. 135 al. 4 CPP), nuiraient à sa réinsertion. L’appelant n’a plus de charges de famille, ses enfants, majeurs, n’étant plus à sa charge. Il est possible à toute personne dans une telle situation de se réinsérer tout en étant cantonné au minimum vital, du moins pendant la période de saisie précédant la délivrance d’actes de défaut de biens. Il n’y a donc pas matière à réduction des frais de première instance. III. Appel joint du Ministère public 1. Le Parquet conclut à ce que le prévenu soit également reconnu coupable de l’infraction de complicité d’utilisation frauduleuse d’un ordinateur par métier (art. 25 CP ad art. 147 al. 1 et 2 CP). L’acte d’accusation du 27 octobre 2011 renvoie le prévenu pour répondre des infractions de complicité d’utilisation frauduleuse d’un ordinateur par métier, subsidiairement de recel par métier et de blanchiment d’argent par métier. La conclusion tendant à la condamnation du prévenu pour complicité d’utilisation frauduleuse d’un ordinateur par métier est ainsi conforme au principe d’accusation consacré par l’art. 9 al. 1 CPP. Il y a donc lieu d’entrer en matière. 1.1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(TF 6B_591/2013 du 22 octobre 2014 consid. 5.1.2 et la référence citée à l’ATF 132 IV 49 consid. 1.1). L'assistance prêtée par le complice peut être matérielle, intellectuelle ou consister en une simple abstention. La complicité par omission suppose toutefois une obligation juridique d'agir, autrement dit une position de garant (TF 6B_591/2013 précité consid.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6B_700/2012 du 8 mars 2013 consid. 7.1 et les références citées).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consid. 5.1.2). 1.2 S’agissant des manipulations e-banking [...] frauduleusement effectuées par K.________ en usurpant l’usage de codes, les premiers juges ont libéré le prévenu de l’accusation de complicité d’utilisation frauduleuse d’un ordinateur par métier en retenant l’absence d’actes d’instigation ou d’assistance qui lui seraient imputables (jugement, p. 14 in fine). L’appelant par voie de jonction reproche au prévenu d’avoir profité de l’argent détourné. Au vu de la définition de la complicité, le seul profit tiré d’une infraction ne suffit pas à réaliser la complicité. Le Parquet lui reproche également d’avoir signé ou cosigné des bons de commande. Il considère que, ce faisant, le prévenu aurait facilité les détournements de sa concubine, respectivement qu’il l’aurait incitée à détourner les fonds nécessaires au règlement de ces achats. K.________ ayant agi indépendamment du prévenu, on ne discerne cependant pas en quoi les comportements en question relèveraient de la complicité, faute de contribution causale à la réalisation de l’infraction au sens de l’art. 25 CP (cf. TF 6B_591/2013 du 22 octobre 2014 précité consid. 5.1.2). 2. Contestant la fixation de la peine par les premiers juges, l’appelant par voie de jonction conclut en outre à ce que le prévenu soit condamné à une peine privative de liberté de 34 mois, ainsi qu’à une peine pécuniaire de 60 jours-amende à 30 fr. le jour.</w:t>
      </w:r>
    </w:p>
    <w:p>
      <w:r>
        <w:rPr>
          <w:b/>
        </w:rPr>
        <w:t>E. 10</w:t>
      </w:r>
    </w:p>
    <w:p>
      <w:r>
        <w:t>fr. doit être confirmé dès lors que le prévenu, bénéficiaire du revenu d’insertion, est à l’aide sociale. L’appel joint donc dès lors être rejeté à l’instar de l’appel principal. IV. Vu l'issue des appels, les frais de la procédure d'appel doivent être mis par moitié à la charge du prévenu, qui succombe sur ses conclusions d’appel tout comme il obtient gain de cause sur ses conclusions tendant au rejet de l’appel joint (art. 428 al. 1, 1 re phrase, CPP), et laissés à celle de l’Etat pour le surplus (art. 423 al. 1 CPP).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conformément à la liste d’opérations produite, soit en tenant compte d'une durée d'activité utile de 14 heures et 42 minutes d’avocat breveté, au tarif horaire de 180 fr., y compris la durée de l’audience d’appel et les débours, plus une vacation à 120 fr., TVA en sus (art. 135 al. 1 CPP), à 2'987 fr. 30. Le prévenu ne sera tenu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