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407 vom 23. April 2015</w:t>
      </w:r>
    </w:p>
    <w:p>
      <w:r>
        <w:t>VD Tribunal cantonal, 2015-04-23, FR</w:t>
      </w:r>
    </w:p>
    <w:p>
      <w:r>
        <w:rPr>
          <w:b/>
        </w:rPr>
        <w:t xml:space="preserve">Quelle: </w:t>
      </w:r>
      <w:r>
        <w:t>https://mcp.opencaselaw.ch/entscheid/vd_findinfo_Jug___2015___407</w:t>
      </w:r>
    </w:p>
    <w:p>
      <w:r>
        <w:t>FR: VD_FINDINFO Jug / 2015 / 407 du 23 avril 2015</w:t>
      </w:r>
    </w:p>
    <w:p>
      <w:r>
        <w:t>IT: VD_FINDINFO Jug / 2015 / 407 del 23 aprile 2015</w:t>
      </w:r>
    </w:p>
    <w:p>
      <w:pPr>
        <w:pStyle w:val="Heading2"/>
      </w:pPr>
      <w:r>
        <w:t>Regeste</w:t>
      </w:r>
    </w:p>
    <w:p>
      <w:r>
        <w:t>LOI FÉDÉRALE SUR LES STUPÉFIANTS ET LES SUBSTANCES PSYCHOTROPES, CAS GRAVE, FIXATION DE LA PEINE | 19 al. 1 LStup, 19 ch. 1 al. 2 LStup, 19 ch. 1 al. 3 LStup, 19 ch. 1 al. 4 LStup, 19 ch. 1 al. 7 LStup, 19 ch. 2 let. a LStup, 19 ch. 2 let. c LStup</w:t>
      </w:r>
    </w:p>
    <w:p>
      <w:pPr>
        <w:pStyle w:val="Heading2"/>
      </w:pPr>
      <w:r>
        <w:t>Erwägungen</w:t>
      </w:r>
    </w:p>
    <w:p>
      <w:r>
        <w:rPr>
          <w:b/>
        </w:rPr>
        <w:t>E. 1</w:t>
      </w:r>
    </w:p>
    <w:p>
      <w:r>
        <w:t>Selon l’art.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A juste titre, l’appelant ne remet pas en question les faits retenus à sa charge, ni même leur qualification juridique. Au vu des faits retenus sous lettres C.2.2 et C.2.3 ci-dessus, il doit donc être reconnu coupable d’entrée et de séjour illicites en Suisse, d’infraction grave à la loi fédérale sur les stupéfiants, ainsi que de blanchiment d’argent. Le recourant conteste en revanche la quotité de la peine prononcée à son encontre, qu’il juge excessive.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et ATF 134 IV 17 (c. 2.1 et les références citées), auxquels il peut être renvoyé. Dans le domaine spécifique des infractions à la loi fédérale sur les stupéfiants (LStup du 3 octobre 1951 ; RS 812.121),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 3.2; TF 6B_632/2014 du 27 octobre 2014 c. 1.2 et les références citées).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ATF 121 IV 193 c. 2b/aa; TF 6B_632/2014 précité c.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(TF 6B_632/2014 précité c. 1.2; TF 6B_107/2013 du 15 mai 2013 c. 2.1.1 et les références citées).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 ATF 118 IV 342 c. 2d ; TF 6B_567/2012 du 18 décembre 2012 c. 3.2 et les références citées).</w:t>
      </w:r>
    </w:p>
    <w:p>
      <w:r>
        <w:rPr>
          <w:b/>
        </w:rPr>
        <w:t>E. 3.2</w:t>
      </w:r>
    </w:p>
    <w:p>
      <w:r>
        <w:t>En l’espèce, la culpabilité de l’appelant doit être qualifiée de lourde. En effet, en quelque dix-huit mois, le trafic du prévenu a porté sur non moins de 908 grammes de cocaïne pure. Certes, cette quantité est inférieure à celle retenue dans l’acte d’accusation (1'350 grammes). Toutefois, contrairement à ce que soutient le recourant, il n’y a pas lieu d’appliquer une règle de trois entre la quantité de drogue retenue et la peine prononcée dès lors que, comme l’a à maintes reprises rappelé la jurisprudence, la quantité de drogue concernée perd de l'importance au fur et à mesure que l'on s'éloigne de la limite à partir de laquelle le cas doit être considéré comme grave au sens de l'art. 19 al. 2 let. a LStup. En l’occurrence, la quantité de drogue concernée représente plus de cinquante fois le cas grave. Cet élément doit donc est pris en compte dans la fixation de la peine, mais ne saurait impliquer une réduction de la peine aussi conséquente que celle demandée par le recourant. S’agissant du type et de la nature du trafic, il y a lieu de relever que le recourant avait coupé – ou avait l’intention de le faire – la drogue qu’il revendait, et que les quantités ainsi concernées étaient de nature à alimenter de façon conséquente le marché lausannois de la cocaïne. X.________ n’était pas un simple vendeur de rue, puisqu’il disposait des contacts et de l’argent nécessaires à l’acquisition de drogue en quantité non négligeable, d’une pureté relativement élevée et venant de fournisseurs étrangers. Même s’il ne saurait être considéré comme un trafiquant d’envergure internationale, dès lors qu’il s’est contenté d’écouler sa marchandise sur le marché lausannois, il n’en reste pas moins que X.________ acquérait la drogue en grande quantité de l’étranger via un tiers et faisait passer ses bénéfices à l’étranger via un autre tiers. La Cour de céans retiendra également que X.________ n’est pas toxicomane et qu’il a donc agi par pur appât du gain. Malgré son absence d’activité lucrative dans notre pays, le produit de son activité délictueuse, qui constituait dès lors son seul revenu, lui a permis d’assumer le loyer et la caution de son appartement, ainsi que d’envoyer des sommes d’argent à l’étranger. A cet égard, le fait que son activité illicite ait pu profiter à d’autres membres de sa famille n’excuse pas les actes mais est susceptible d’atténuer quelque peu la faute. A charge encore, il y a lieu de retenir l’attitude de déni adoptée par le prévenu, illustrant une absence de prise de conscience de la gravité des infractions commises. Enfin, le recourant est resté en Suisse dans l’unique but de s’adonner à son trafic alors que sa demande d’asile avait été rejetée ; plus encore, il y est même revenu alors qu’il avait bénéficié d’une aide pour repartir en Espagne. A décharge, il convient de tenir compte du jeune âge du prévenu, de son absence d’antécédents, du fait qu’il n’a disposé que d’une éducation rudimentaire et d’aucune formation professionnelle et qu’il n’a pas disposé autour de lui de personnes de référence susceptibles de lui transmettre des valeurs morales, ni des compétences qui auraient pu plus aisément l’acheminer vers un travail honnête. Enfin, le recourant, dans sa déclaration d’appel, procède à une comparaison avec d'autres affaires, soutenant qu’au regard de ces comparaisons il se justifierait de diminuer sa peine privative de liberté. Selon une jurisprudence bien établie, eu égard aux nombreux paramètres qui interviennent dans la fixation de la peine, une comparaison avec des affaires concernant d'autres accusés et des faits différents est d'emblée délicate car il existe presque toujours des différences entre les circonstances objectives et subjectives, que le juge doit prendre en considération dans chacun des cas (ATF 135 IV 191 c. 3.1). En tant qu'elle se résume à mettre en relation des quantités de stupéfiants et la durée des sanctions prononcées, la comparaison exposée par le recourant, qui méconnaît que ces quantités ne constituent qu'un élément de fixation de la peine est vaine. Tout bien considéré, la peine privative de liberté de six ans prononcée par les premiers juges est adéquate et doit être confirmée. La détention avant jugement sera déduite, de même que quatorze jours de détention à titre de réparation du tort moral causé par les 27 jours de détention subie dans des conditions illicites.</w:t>
      </w:r>
    </w:p>
    <w:p>
      <w:r>
        <w:rPr>
          <w:b/>
        </w:rPr>
        <w:t>E. 4</w:t>
      </w:r>
    </w:p>
    <w:p>
      <w:r>
        <w:t>En conclusion, l'appel doit être rejeté et le jugement attaqué intégralement confirmé. Vu l'issue de la cause, les frais d'appel doivent être mis à la charge de X.________ (art. 428 al. 1 CPP). Outre l'émolument d’arrêt par 1’610 fr., ces frais comprennent l’indemnité allouée à son défenseur d’office, par 2'224 fr. 80, TVA et débours compris, selon la liste d’opérations produite (P. 69). Le prévenu ne sera tenu de rembourser à l’Etat le montant de l'indemnité en faveur de son défenseur d'office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