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401 vom 18. Mai 2015</w:t>
      </w:r>
    </w:p>
    <w:p>
      <w:r>
        <w:t>VD Tribunal cantonal, 2015-05-18, FR</w:t>
      </w:r>
    </w:p>
    <w:p>
      <w:r>
        <w:rPr>
          <w:b/>
        </w:rPr>
        <w:t xml:space="preserve">Quelle: </w:t>
      </w:r>
      <w:r>
        <w:t>https://mcp.opencaselaw.ch/entscheid/vd_findinfo_Jug___2015___401</w:t>
      </w:r>
    </w:p>
    <w:p>
      <w:r>
        <w:t>FR: VD_FINDINFO Jug / 2015 / 401 du 18 mai 2015</w:t>
      </w:r>
    </w:p>
    <w:p>
      <w:r>
        <w:t>IT: VD_FINDINFO Jug / 2015 / 401 del 18 maggio 2015</w:t>
      </w:r>
    </w:p>
    <w:p>
      <w:pPr>
        <w:pStyle w:val="Heading2"/>
      </w:pPr>
      <w:r>
        <w:t>Regeste</w:t>
      </w:r>
    </w:p>
    <w:p>
      <w:r>
        <w:t>ACQUITTEMENT, RESSORTISSANT ÉTRANGER, TRAVAILLEUR, AUTORISATION DE TRAVAIL | 12 CP, 11 LEtr, 117 al. 1 LEtr, 91 al. 1 LEtr</w:t>
      </w:r>
    </w:p>
    <w:p>
      <w:pPr>
        <w:pStyle w:val="Heading2"/>
      </w:pPr>
      <w:r>
        <w:t>Erwägungen</w:t>
      </w:r>
    </w:p>
    <w:p>
      <w:r>
        <w:rPr>
          <w:b/>
        </w:rPr>
        <w:t>E. 1</w:t>
      </w:r>
    </w:p>
    <w:p>
      <w:r>
        <w:t>Interjeté dans les forme et délai légaux (art. 399 CPP) par une partie ayant qualité à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 TF 6B_78/2012 du 27 août 2012 c. 3.1).</w:t>
      </w:r>
    </w:p>
    <w:p>
      <w:r>
        <w:rPr>
          <w:b/>
        </w:rPr>
        <w:t>E. 3.1</w:t>
      </w:r>
    </w:p>
    <w:p>
      <w:r>
        <w:t>T.________, qui ne conteste pas que quatre personnes sans autorisation d’exercer une activité ont travaillé pour le compte de sa société, estime devoir être libéré du chef de prévention d’emploi d’étrangers sans autorisation, au motif qu’il se trouvait à l’étranger au moment des faits et que son employé, W.________ a agi de son propre chef, sans l’avertir.</w:t>
      </w:r>
    </w:p>
    <w:p>
      <w:r>
        <w:rPr>
          <w:b/>
        </w:rPr>
        <w:t>E. 3.2</w:t>
      </w:r>
    </w:p>
    <w:p>
      <w:r>
        <w:t>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francs au plus (al. 3). Le terme “employer” doit être compris de manière large, comme consistant non seulement à conclure et exécuter un contrat de travail au sens des art. 319 ss CO (Loi fédérale du 30 mars 1911 complétant le code civil suisse;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 1.5 et les références citées). En vertu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(2C_1039/2013 du 16 avril 2014 c. 5.1 ; 2C_783/2012 du 10 octobre 2012 c. 2.1 ; 2C_357/2009 du 16 novembre 2009 c. 5.3). 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15 s. ad art. 12 CP et les références citées).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En second lieu, pour qu'il y ait négligence, il faut que la violation du devoir de prudence soit fautive, c'est-à-dire que l'on puisse reprocher à l'auteur, compte tenu de ses circonstances personnelles, une inattention ou un manque d'effort blâmable (ATF 134 IV 255 c. 4.2.3 et les références citées).</w:t>
      </w:r>
    </w:p>
    <w:p>
      <w:r>
        <w:rPr>
          <w:b/>
        </w:rPr>
        <w:t>E. 3.3</w:t>
      </w:r>
    </w:p>
    <w:p>
      <w:r>
        <w:t>En l’espèce, W.________, chef d’équipe, a pris l’initiative d’engager quatre personnes qui n’étaient pas titulaire d’une autorisation d’exercer une activité lucrative. Il ressort en effet de leurs déclarations que ces quatre travailleurs n’ont traité qu’avec lui. Il n’a pas fait les vérifications d’usage ; il n’a pas informé T.________ qui était en vacances et qui a appris par la police, en fin de semaine, que ces quatre personnes travaillaient pour son entreprise. X.________, qui s’occupait des vérifications administratives relatives au personnel, ignorait ces engagements. Au vu de cet élément et du fait qu’elle a été absente en raison du décès de son grand-père pendant quelques jours, il y a lieu de retenir qu’elle n’était pas présente au bureau le 2 juin 2014 et les jours suivants. W.________ n’avait pas reçu de directives particulières en matière d’engagement de personnel étranger, le formulaire édicté par T.________ étant postérieur aux faits dénoncés. W.________ savait néanmoins que seules des personnes en situation régulières pouvaient travailler pour l’entreprise. Il n’avait pas la compétence d’engager du personnel, ce qui a été confirmé par T.________ et X.________, même si, selon ses déclarations, il lui était arrivé précédemment de prendre l’initiative d’engager des travailleurs qui avaient des papiers en règle, vérification qu’il n’a pas faite dans le cas particulier. Dans ces circonstances, on ne saurait considérer qu’en ne donnant pas des instructions plus précises à W.________, T.________ a accepté le risque que celui-ci prenne une initiative qui outrepasse ses compétences et fasse preuve au surplus de négligence en ne procédant à aucune vérification, ceci lors de son absence et celle de sa responsable des ressources humaines. Ainsi, on ne saurait retenir que l’infraction est réalisée, même par dol éventuel et l’appel doit être admis.</w:t>
      </w:r>
    </w:p>
    <w:p>
      <w:r>
        <w:rPr>
          <w:b/>
        </w:rPr>
        <w:t>E. 4.1</w:t>
      </w:r>
    </w:p>
    <w:p>
      <w:r>
        <w:t>Reste à examiner la question des frais de procédure.</w:t>
      </w:r>
    </w:p>
    <w:p>
      <w:r>
        <w:rPr>
          <w:b/>
        </w:rPr>
        <w:t>E. 4.2.1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prévenu libéré ne peut être condamné au paiement des frais de procédure que si, par un comportement juridiquement critiquable, il a provoqué la procédure pénale dirigée contre lui ou s’il en a entravé le cours. La condamnation aux frais d’un prévenu ou d’un accusé libéré ne résulte pas d’une responsabilité pour une faute pénale mais d’une responsabilité proche du droit civil, née d’un comportement fautif. Il est compatible avec les art. 32 al. 1 Cst. et 6 al.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et 2e). Le juge doit fonder son prononcé sur des faits incontestés ou déjà clairement établis (ATF 112 Ia 371 c.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c. 1.2 ; TF 1B_12/2012 du 20 février 2012 c. 2 et les références citées).</w:t>
      </w:r>
    </w:p>
    <w:p>
      <w:r>
        <w:rPr>
          <w:b/>
        </w:rPr>
        <w:t>E. 4.2.2</w:t>
      </w:r>
    </w:p>
    <w:p>
      <w:r>
        <w:t>Aux termes de l’art. 55 al. 1 du Code des obligations du 30 mars 1911 (CO; RS 220), l’employeur est responsable du dommage causé par ses travailleurs ou ses autres auxiliaires dans l’accomplissement de leur travail, s’il ne prouve pas qu’il a pris tous les soins commandés par les circonstances pour détourner un dommage de ce genre ou que sa diligence n’eût pas empêché le dommage de se produire. L’art. 55 CO institue une responsabilité objective simple, qui sanctionne la violation d’un devoir de diligence, apprécié objectivement, indépendamment de la personne de l’employeur (Werro, Commentaire romand CO I, Bâle 2003, n. 1 ad art. 55 CO). L’employeur est toute personne physique ou morale qui, dans ses affaires professionnelles ou domestiques, charge un subordonné, appelé auxiliaire, d’accomplir une tâche. Le critère essentiel est celui de l’existence, entre ces deux personnes, d’un rapport de subordination personnelle (Werro, op. cit., n. 7 ad art. 55 CO). Il faut une relation directe et fonctionnelle entre l’activité pour laquelle l’employeur a eu recours à l’auxiliaire et l’acte dommageable. Ce lien manque en particulier quand l’acte illicite a eu lieu non pas dans l’accomplissement du travail, mais à l’occasion de celui-ci seulement. La responsabilité de l’employeur n’est pas d’emblée exclue si l’auxiliaire prend l’initiative d’une mesure ou élargit de son propre chef son activité, aussi longtemps qu’il existe une corrélation avec son travail; cela vaut en particulier si l’employeur n’intervient pas alors qu’il a conscience de cette activité de son auxiliaire (TF 4A.326/2006 et 4A.406/2008 du 16 décembre 2008 c. 5.1 et les références citées). La responsabilité de l’employeur pour le dommage causé par son auxiliaire est causale, c’est-à-dire que l’employeur répond du dommage même s’il n’y a pas eu faute de sa part ou de celle de l’auxiliaire. Selon la règle générale de la causalité, il ne répond pas du dommage lorsqu’une autre cause a joué un rôle primaire et seul décisif dans la survenance de celui-ci (TF 4A.326/2008 et 4A.406/2008 du 16 décembre 2008 précité c. 5.2 et les références citées). Il dispose toutefois de moyens libératoires en prouvant qu’il n’a commis aucune faute personnelle dans la mise à disposition d’instruments et de matériaux appropriés, l’organisation, la direction et le contrôle de son entreprise, ni dans le choix de ses collaborateurs (cura in eligendo), les instructions données (cura in custodiendo) ou la surveillance de leur activité (cura in instruendo). Les exigences posées par le Tribunal fédéral pour la preuve libératoire sont élevées et, plus le travail de l’auxiliaire est dangereux, plus la diligence requise de l’employeur est élevée, même si l’on ne peut pas exiger l’impossible (TF 4A.326/2008 et 4A.406/2008 du 16 décembre 2008 précité c. 5.2 et 5.3 et les références citées; ATF 90 lI 86 c. 3, JT 1964 I 560; Werro, op. cit., nn. 17 ss ad art. 55 CO; Engel, Traité des obligations en droit suisse, Berne 1997, pp. 739 ss).</w:t>
      </w:r>
    </w:p>
    <w:p>
      <w:r>
        <w:rPr>
          <w:b/>
        </w:rPr>
        <w:t>E. 4.3</w:t>
      </w:r>
    </w:p>
    <w:p>
      <w:r>
        <w:t>Dans le cas d’espèce, T.________, administrateur unique de la société, et X.________, responsable des ressources humaines, étaient les seules personnes habilitées à engager du personnel. Avant de partir en vacances, T.________ savait que X.________ avait perdu son grand-père et que de ce fait, elle allait être absente quelques jours. Néanmoins, malgré cette situation, l’appelant n’a pas pris les mesures objectivement indiquées par les circonstances, alors qu’il savait que son entreprise était parfois amenée à engager du personnel le jour même. Il a ainsi omis de donner les instructions précises et nécessaires à son personnel dans l’éventualité où de la main d’œuvre devait être engagée en son absence, ainsi qu’en l’absence de la responsable des ressources humaines. Au vu de ce qui précède, T.________ doit répondre des agissements de W.________ au regard de l’art. 55 CO. Les frais de première instance doivent en conséquence être mis à la charge de l’appelant en application de l’art. 426 al. 2 CPP. En outre, le prévenu libéré n’a pas droit à une indemnité pour ses frais de défense de première instance pour les mêmes motifs.</w:t>
      </w:r>
    </w:p>
    <w:p>
      <w:r>
        <w:rPr>
          <w:b/>
        </w:rPr>
        <w:t>E. 5</w:t>
      </w:r>
    </w:p>
    <w:p>
      <w:r>
        <w:t>En définitive, l’appel de T.________ doit être admis. Vu l’issue de la cause, les frais d’appel, constitués de l’émolument de jugement, par 1'910 fr. (art. 21 al. 1 TFIP [tarif des frais de procédure et indemnités en matière pénale du 28 septembre 2010 ; RSV 312.03.1]), seront laissés à la charge de l’Etat (cf. art. 423 al. 1 CPP). Enfin, T.________ qui a obtenu gain de cause et qui a procédé avec l'assistance d'un conseil professionnel, a droit à une juste indemnité pour les dépenses occasionnées par la procédure d’appel au sens de l’art. 429 CPP. Il a produit un relevé d’activités qui ne distingue pas les opérations de première et de deuxième instances, de sorte que celles-ci sont évaluées à 10 heures au tarif horaire demandé de 265 fr., une vacation à 120 fr. et 50 fr. de débours, plus la TVA, soit un total de 3'045 fr. 60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