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396 vom 24. März 2015</w:t>
      </w:r>
    </w:p>
    <w:p>
      <w:r>
        <w:t>VD Tribunal cantonal, 2015-03-24, FR</w:t>
      </w:r>
    </w:p>
    <w:p>
      <w:r>
        <w:rPr>
          <w:b/>
        </w:rPr>
        <w:t xml:space="preserve">Quelle: </w:t>
      </w:r>
      <w:r>
        <w:t>https://mcp.opencaselaw.ch/entscheid/vd_findinfo_Jug___2015___396</w:t>
      </w:r>
    </w:p>
    <w:p>
      <w:r>
        <w:t>FR: VD_FINDINFO Jug / 2015 / 396 du 24 mars 2015</w:t>
      </w:r>
    </w:p>
    <w:p>
      <w:r>
        <w:t>IT: VD_FINDINFO Jug / 2015 / 396 del 24 marzo 2015</w:t>
      </w:r>
    </w:p>
    <w:p>
      <w:pPr>
        <w:pStyle w:val="Heading2"/>
      </w:pPr>
      <w:r>
        <w:t>Regeste</w:t>
      </w:r>
    </w:p>
    <w:p>
      <w:r>
        <w:t>ERREUR, BEAUX-PARENTS{PARENTS DU CONJOINT}, ENFANT DU CONJOINT, ACTE D'ORDRE SEXUEL, ACTE D'ORDRE SEXUEL SUR UN INCAPABLE DE DISCERNEMENT, ERREUR SUR LES FAITS{DROIT PÉNAL}, ERREUR SUR LES FAITS{EN GÉNÉRAL} | 13 al. 1 CP, 191 ch. 1 CP, 10 CPP (CH)</w:t>
      </w:r>
    </w:p>
    <w:p>
      <w:pPr>
        <w:pStyle w:val="Heading2"/>
      </w:pPr>
      <w:r>
        <w:t>Erwägungen</w:t>
      </w:r>
    </w:p>
    <w:p>
      <w:r>
        <w:rPr>
          <w:b/>
        </w:rPr>
        <w:t>E. 1</w:t>
      </w:r>
    </w:p>
    <w:p>
      <w:r>
        <w:t>Interjeté dans les forme et délai légaux (art. 399 CPP) par une partie ayant qualité à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qui ne conteste pas la matérialité des faits, fait valoir une erreur sur les faits en raison d’un état d’ivresse avancé le jour des événements qui l’aurait amené à se tromper de chambre à coucher, pensant avoir rejoint son épouse. Il soutient que le doute sur l’existence de cette confusion devrait lui être favorable.</w:t>
      </w:r>
    </w:p>
    <w:p>
      <w:r>
        <w:rPr>
          <w:b/>
        </w:rPr>
        <w:t>E. 3.1.1</w:t>
      </w:r>
    </w:p>
    <w:p>
      <w:r>
        <w:t>Agit sous l'emprise d'une erreur sur les faits au sens de l’art. 13 al. 1 CP, celui qui n'a pas connaissance ou qui se base sur une appréciation erronée d'un élément constitutif d'une infraction pénale. L'intention délictuelle fait ainsi défaut. L'auteur doit être jugé selon son appréciation erronée, si celle-ci lui est favorable (ATF 129 IV 238 c. 3.1, JdT 2005 IV 87).</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cf. aussi, quant à la notion d’arbitraire, ATF 136 III 552 c. 4.2).</w:t>
      </w:r>
    </w:p>
    <w:p>
      <w:r>
        <w:rPr>
          <w:b/>
        </w:rPr>
        <w:t>E. 3.2</w:t>
      </w:r>
    </w:p>
    <w:p>
      <w:r>
        <w:t>Au vu de l’ensemble des éléments qui précèdent, une erreur sur les faits de la part de l’appelant doit être écartée.</w:t>
      </w:r>
    </w:p>
    <w:p>
      <w:r>
        <w:rPr>
          <w:b/>
        </w:rPr>
        <w:t>E. 4</w:t>
      </w:r>
    </w:p>
    <w:p>
      <w:r>
        <w:t>En définitive, l’appel, qui n’invoque aucun autre argument, doit être rejeté et le jugement attaqué confirmé, la peine prononcée, examinée d’office, étant adéquate. Vu l’issue de la cause, les frais d’appel, constitués de l’émolument de jugement, par 1’280 fr. (art. 21 al. 1 TFIP [Tarif des frais de procédure et indemnités en matière pénale du 28 septembre 2010; RSV 312.03.1]) seront mis à la charge de l’appelant qui succombe (art. 428 al. 1 CPP). Outre l'émolument, ces frais comprennent l’indemnité allouée au conseil d’office de B.________, qui peut être arrêtée à 1’112 fr. 60, TVA et débours inclus, conformément aux indications figurant sur la liste des opérations produite aux débats d’appel. L’appelant ne sera tenu de rembourser le montant de l’indemnité en faveur du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