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387 vom 28. Juli 2015</w:t>
      </w:r>
    </w:p>
    <w:p>
      <w:r>
        <w:t>VD Tribunal cantonal, 2015-07-28, FR</w:t>
      </w:r>
    </w:p>
    <w:p>
      <w:r>
        <w:rPr>
          <w:b/>
        </w:rPr>
        <w:t xml:space="preserve">Quelle: </w:t>
      </w:r>
      <w:r>
        <w:t>https://mcp.opencaselaw.ch/entscheid/vd_findinfo_Jug___2015___387</w:t>
      </w:r>
    </w:p>
    <w:p>
      <w:r>
        <w:t>FR: VD_FINDINFO Jug / 2015 / 387 du 28 juillet 2015</w:t>
      </w:r>
    </w:p>
    <w:p>
      <w:r>
        <w:t>IT: VD_FINDINFO Jug / 2015 / 387 del 28 luglio 2015</w:t>
      </w:r>
    </w:p>
    <w:p>
      <w:pPr>
        <w:pStyle w:val="Heading2"/>
      </w:pPr>
      <w:r>
        <w:t>Regeste</w:t>
      </w:r>
    </w:p>
    <w:p>
      <w:r>
        <w:t>CIRCULATION ROUTIÈRE{DROIT DE LA CIRCULATION ROUTIÈRE} | 34 al. 4 LCR, 398 al. 4 CPP (CH)</w:t>
      </w:r>
    </w:p>
    <w:p>
      <w:pPr>
        <w:pStyle w:val="Heading2"/>
      </w:pPr>
      <w:r>
        <w:t>Erwägungen</w:t>
      </w:r>
    </w:p>
    <w:p>
      <w:r>
        <w:rPr>
          <w:b/>
        </w:rPr>
        <w:t>E. 1.1</w:t>
      </w:r>
    </w:p>
    <w:p>
      <w:r>
        <w:t>Interjeté dans les formes et délai légaux (art. 399 CPP [ Code de procédure pénale suisse du 5 octobre 2007, RS 312.0 ] ) par une partie ayant la qualité pour recourir contre le jugement d’un tribunal de première instance ayant clos la procédure (art. 398 al. 1 CPP), l’appel de T.________ est recevable. S’agissant d’un appel dirigé contre une contravention, la procédure écrite est applicable (art. 406 al. 1 let. c CPP) et la cause ressort de la compétence d’un juge unique (art. 14 al. 3 LVCPP [Loi d'introduction du Code de procédure pénale suisse du 19 mai 2009, RSV 312.01]).</w:t>
      </w:r>
    </w:p>
    <w:p>
      <w:r>
        <w:rPr>
          <w:b/>
        </w:rPr>
        <w:t>E. 1.2</w:t>
      </w:r>
    </w:p>
    <w:p>
      <w:r>
        <w:t>Selon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Bâle 2011, n. 22-23 ad art. 398 CPP). En l’espèce, seule une contravention à la législation sur la circulation routière a fait l’objet de la procédure de première instance, de sorte que l’appel est restreint.</w:t>
      </w:r>
    </w:p>
    <w:p>
      <w:r>
        <w:rPr>
          <w:b/>
        </w:rPr>
        <w:t>E. 2</w:t>
      </w:r>
    </w:p>
    <w:p>
      <w:r>
        <w:t>Invoquant une constatation incomplète et erronée des faits, l’appelant reproche au premier juge de s’être fondé sur le rapport de police, plutôt que sur sa version et des éléments pertinents présentés, notamment les conditions météorologiques et les déclarations de l’appointée [...] lors de son audition devant le premier juge. Il relève également que le rapport, lacunaire et imprécis, ne permet pas d’être correctement et exhaustivement renseigné sur les circonstances de son interpellation et la méthode utilisée par la police pour estimer la distance entre les véhicules.</w:t>
      </w:r>
    </w:p>
    <w:p>
      <w:r>
        <w:rPr>
          <w:b/>
        </w:rPr>
        <w:t>E. 2.1</w:t>
      </w:r>
    </w:p>
    <w:p>
      <w:r>
        <w:t>Comme indiqué ci-dessus, en cas d’appel restreint, le pouvoir d’examen de l’autorité d’appel est limité dans l’appréciation des faits à ce qui a été établi de manière arbitraire, la formulation de l’art. 398 al. 4 CPP correspondant à celle de l’art. 97 al. 1 LTF (Loi sur le Tribunal fédéral du 17 juin 2005, RS 173.110). La notion d’arbitraire n’est pas synonyme de discutable, ni même de critiquable. Une décision ne peut être considérée comme arbitraire que si elle s’avère manifestement insoutenable, et cela non seulement dans sa motivation mais dans son résultat (ATF 134 I 140 c. 5.4 ; ATF 133 I 149 c. 3.1 et les arrêts cités). Le principe de l’appréciation libre des preuves interdit d’attribuer d’entrée de cause une force probante accrue à certains moyens de preuve, comme par exemple des rapports de police (cf. TF 1P.283/2006 du 4 août 2006 c. 2.3). Toutefois, on ne saurait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(cf. TF 6S.703/1993 du 18 mars 1994 c. 3b).</w:t>
      </w:r>
    </w:p>
    <w:p>
      <w:r>
        <w:rPr>
          <w:b/>
        </w:rPr>
        <w:t>E. 2.2</w:t>
      </w:r>
    </w:p>
    <w:p>
      <w:r>
        <w:t>En l’espèce, il n’existe aucune raison de mettre en doute les déclarations concordantes des deux agents publics assermentés, aucun élément ne permettant d’affecter leur crédibilité. On voit difficilement que deux policiers puissent parler d’une distance insuffisante alors que celle-ci n’aurait pu être observée de manière claire. De plus, ces policiers n’ont aucun intérêt à l’issue de la procédure, contrairement à l’appelant. En outre, leurs observations ne comportent aucune incertitude sur les éléments pertinents de la cause. En effet, il s’agit de deux policiers qui ont sans aucun doute l’habitude de ce genre d’affaires en matière de circulation routière et qui, évidemment, ne dénoncent ni ne procèdent à des arrestations à tout va ou dans les cas douteux. Enfin, le fait que les souvenirs de l’agent entendu lors des débats de première instance se soient estompés est compréhensible au regard de l’écoulement du temps. Par ailleurs, il est constant que, le soir en question, la température était négative. En outre, même si de toute manière l’attestation du 29 septembre 2015 produite par l’appelant en cours de procédure est irrecevable en vertu de l’art. 398 al. 4 CPP, cette attestation n’infirme en rien les constatations policières selon lesquelles les voies étaient verglacées. En effet, ce document relève uniquement qu’il n’y a pas eu de précipitations en journée. Selon la police, il y a eu des chutes de neige durant les 24 heures qui ont précédé la commission de l’infraction et, compte tenu de la bise, il est très vraisemblable que des résidus de neige aient été chassés sur les routes, créant ainsi, par endroit, du verglas. Au regard de l’ensemble de ces éléments, les faits retenus dans le jugement attaqué ne sont entachés d’aucun arbitraire. Le fait que T.________ ne soit pas d’accord avec l’appréciation du premier juge ne suffit évidemment pas à retenir un quelconque caractère arbitraire. Mal fondé, ce moyen doit être rejeté.</w:t>
      </w:r>
    </w:p>
    <w:p>
      <w:r>
        <w:rPr>
          <w:b/>
        </w:rPr>
        <w:t>E. 3</w:t>
      </w:r>
    </w:p>
    <w:p>
      <w:r>
        <w:t>L’appelant invoque une violation des art. 34 al. 4 LCR (Loi fédérale sur la circulation routière du 19 décembre 1958, RS 741.01) et 12 OCR (Ordonnance sur les règles de la circulation routière du 13 novembre 1962, RS 741.11) et conclut à sa libération du chef d’accusation d’infraction simple aux règles de la circulation routière. Il explique en substance qu’au moment des faits, il circulait à une distance de 30 à 40 mètres du véhicule devant lui sur un tronçon de 150 mètres, soit une durée très courte, et que ce comportement n’est pas constitutif de l’infraction réprimée par les articles susmentionnés. L’état de fait sur lequel T.________ fonde son argumentation n’étant pas celui retenu dans la présente cause au regard des considérants qui précèdent, le raisonnement de l’appelant tombe à faux. Au demeurant, quand bien même on retiendrait la version de l’appelant, l’infraction commise par ce dernier serait de toute façon réalisée, comme le relève le premier juge dans ses considérants. En effet, selon la règle des deux secondes et le calcul qui ressort du jugement de première instance, l’appelant aurait dû se trouver à une distance d’environ 56 mètres du véhicule qui le précédait pour lui permettre de s’arrêter à temps en cas de freinage inattendu, ce d’autant que, comme on l’a vu, les paramètres météorologiques ne jouaient, cette nuit-là, clairement pas en sa faveur. Partant, T.________ s’est bien rendu coupable de violation simple des règles de la circulation routière.</w:t>
      </w:r>
    </w:p>
    <w:p>
      <w:r>
        <w:rPr>
          <w:b/>
        </w:rPr>
        <w:t>E. 4</w:t>
      </w:r>
    </w:p>
    <w:p>
      <w:r>
        <w:t>En ce qui concerne la quotité de l’amende, celle-ci doit être fixée en tenant compte de la situation de l’auteur afin que la peine corresponde à la faute commise (art. 106 al. 3 CP). En l’occurrence, l’amende de 250 fr., convertible en 3 jours de peine privative de liberté de substitution en cas de non-paiement fautif, prononcée par le tribunal de première instance pour sanctionner la contravention commise est adéquate et doit être confirmée.</w:t>
      </w:r>
    </w:p>
    <w:p>
      <w:r>
        <w:rPr>
          <w:b/>
        </w:rPr>
        <w:t>E. 5</w:t>
      </w:r>
    </w:p>
    <w:p>
      <w:r>
        <w:t>En définitive, l’appel, mal fondé, doit être rejeté et le jugement entrepris intégralement confirmé. Vu l’issue de la cause, les frais d’appel, comprenant l’émolument d’arrêt, par 810 fr. (art. 21 al. 1 TFIP [Tarif des frais de procédure et indemnités en matière pénale du 28 septembre 2010, RSV 312.03.1]), sont mis à la charge de T.________.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