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382 vom 13. März 2015</w:t>
      </w:r>
    </w:p>
    <w:p>
      <w:r>
        <w:t>VD Tribunal cantonal, 2015-03-13, FR</w:t>
      </w:r>
    </w:p>
    <w:p>
      <w:r>
        <w:rPr>
          <w:b/>
        </w:rPr>
        <w:t xml:space="preserve">Quelle: </w:t>
      </w:r>
      <w:r>
        <w:t>https://mcp.opencaselaw.ch/entscheid/vd_findinfo_Jug___2015___382</w:t>
      </w:r>
    </w:p>
    <w:p>
      <w:r>
        <w:t>FR: VD_FINDINFO Jug / 2015 / 382 du 13 mars 2015</w:t>
      </w:r>
    </w:p>
    <w:p>
      <w:r>
        <w:t>IT: VD_FINDINFO Jug / 2015 / 382 del 13 marzo 2015</w:t>
      </w:r>
    </w:p>
    <w:p>
      <w:pPr>
        <w:pStyle w:val="Heading2"/>
      </w:pPr>
      <w:r>
        <w:t>Regeste</w:t>
      </w:r>
    </w:p>
    <w:p>
      <w:r>
        <w:t>APPRÉCIATION DES PREUVES, PRÉSOMPTION D'INNOCENCE, FIXATION DE LA PEINE, TORT MORAL, MENACE{DROIT PÉNAL} | 47 CO, 180 CP, 47 CP, 10 CPP (CH)</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formé par M.________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w:t>
      </w:r>
    </w:p>
    <w:p>
      <w:r>
        <w:t>Invoquant la présomption d'innocence, l'appelant conteste certains faits retenus à sa charge, reprochant au premier juge d'avoir, en présence de deux versions des faits irrémédiablement contradictoires, retenu la version de la plaignante, sans motiver en détail les faits retenus à sa charge ni justifier les attitudes contradictoires de la plaignante.</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w:t>
      </w:r>
    </w:p>
    <w:p>
      <w:r>
        <w:rPr>
          <w:b/>
        </w:rPr>
        <w:t>E. 2.2</w:t>
      </w:r>
    </w:p>
    <w:p>
      <w:r>
        <w:t>Il convient de souligner de manière générale que les déclarations de la plaignante sur la réalité des violences qu'elle a subies de la part de son compagnon sont corroborées par les rapports d'intervention de la police, les rapports médicaux, les témoignages de voisins et les déclarations de ses parents. Alors même que la plaignante, avant la séparation, niait être victime de violences conjugales, aucun intervenant n'a douté de la réalité de celles-ci. Il n'y a à cet égard pas de réelle contradiction dans les déclarations de la plaignante, dès lors que c'est à l'évidence la séparation qui lui a permis de faire état de la violence qu’elle avait subie. Quant aux déclarations du prévenu, elles sont dénuées de toute crédibilité. Sa manière de se poser en victime tout au long de la procédure est détestable. Devant le premier juge, il a notamment déclaré n'avoir jamais porté la main sur sa compagne, ni l'avoir menacée avec un couteau. Il a expliqué les traces de coups par le fait que la plaignante serait instable psychologiquement, ce qui la pousserait à faire régulièrement des crises de violence durant lesquelles elle se blesserait elle-même. Aucun élément du dossier ne vient étayer cette manière de voir. Rien ne permet non plus de retenir, comme le prétend le prévenu, la mise en place d'un quelconque complot à son encontre.</w:t>
      </w:r>
    </w:p>
    <w:p>
      <w:r>
        <w:rPr>
          <w:b/>
        </w:rPr>
        <w:t>E. 2.3</w:t>
      </w:r>
    </w:p>
    <w:p>
      <w:r>
        <w:t>Dans le cadre de son appel, M.________ ne conteste que certains épisodes de violence, sans reconnaître les autres, et reproche au premier juge de n’avoir pas expliqué en détail les raisons pour lesquelles la version de la plaignante l’emportait à ses yeux. L'appelant perd de vue que, face à deux versions divergentes des faits, dont l'une est logique et corroborée par de nombreux éléments du dossier et l'autre non, il y a à l'évidence lieu de retenir la première. En ce qui concerne les événements du 30 janvier 2011, M.________ fait valoir que personne ne l'a jamais vu avec un couteau, de sorte que ces faits ne sauraient être retenus à sa charge. C'est à l'évidence faux, comme cela clairement des déclarations de la plaignante (cf. PV. aud. 1, pp. 1 et 2) ainsi que de celles de son père qui a précisé que, lors de cet incident, M.________ était ressorti de la maison avec une main dans le dos, se dirigeant vers eux, la plaignante leur disant "partez vite, il a un couteau" (cf. jgt, p. 15). Plusieurs témoins ont d’ailleurs dit qu'ils avaient l'habitude de scènes de violence au sein du couple, W.________ précisant avoir, à une occasion, vu quelque chose de brillant dans la poche de M.________ et avoir eu peur, car cela lui faisait penser à un objet dangereux, à une lame (cf. jgt, p. 10). L'appelant conteste également avoir tenu des propos menaçants lors de ses téléphones des 14 et 18 juillet 2011 à la plaignante. Il va de soi que, s'agissant d'entretiens téléphoniques, il n'y a pas de témoins. Il n'en demeure pas moins que les déclarations de la plaignante au sujet de ces conversations sont crédibles compte tenu des nombreux autres éléments qui établissent que M.________ l'a menacée à d'autres occasions. En ce qui concerne les violences de mars 2009, M.________ fait valoir que les déclarations de la plaignante ne sont pas précises. Les quelques imprécisions relevées par l'appelant dans son mémoire ne modifient pas le fait que les explications fournies par l'intimée à ce propos sont cohérentes, que les blessures dont elle a été victime sont attestées par certificat médical (cf. P. 10/15) et qu'elles sont compatibles avec son récit, et non avec des blessures provoquées par un couteau mal rangé dans un lave-vaisselle. Rien ne permet non plus de mettre en doute la crédibilité de la plaignante s’agissant de l’incident de juillet 2009 avec son fils J.________. L'appelant prétend aussi que sa condamnation se fonde sur l'appréciation d'un climat général. Il n'en est rien : les témoignages et les pièces faisant état de traces de coups, de violence psychologique et de menaces sont accablants. Certaines personnes ont été directement témoins de scènes de violence et ont pu constater la peur que la plaignante ressentait à l'égard de son compagnon. Ils ont en outre été eux-mêmes été confrontés à l'agressivité du prévenu et ont clairement dit ne pas s'être sentis en sécurité. Rien n'indique au demeurant que l'intimée a fait état de violences conjugales pour éloigner le prévenu de ses enfants. A.X.________ a au contraire caché sa situation pendant de nombreuses années. Le fait enfin qu’elle s'est rendue chez son ex-compagnon le 28 octobre 2014 et qu’à cette occasion, elle avait l'air détendue – comme le démontre le film que le prévenu a tourné ce jour-là à son insu, n'établit nullement que les violences qui sont reprochées à ce dernier entre janvier 2009 et juillet 2011 n’ont pas eu lieu, sans qu'il y ait besoin de se demander si cette preuve est licite.</w:t>
      </w:r>
    </w:p>
    <w:p>
      <w:r>
        <w:rPr>
          <w:b/>
        </w:rPr>
        <w:t>E. 2.4</w:t>
      </w:r>
    </w:p>
    <w:p>
      <w:r>
        <w:t>En conclusion, c’est en vain que le prévenu a cherché à mettre en doute les faits tels qu'ils ont finalement été retenus par le premier juge. On ne saurait douter de la version de la plaignante et l'on doit considérer que celle-ci a bien été victime de violence domestique pendant de nombreuses années. Mal fondé, l'appel de M.________ doit donc être rejeté lorsqu'il remet en cause l'appréciation des preuves faite par le Tribunal de police.</w:t>
      </w:r>
    </w:p>
    <w:p>
      <w:r>
        <w:rPr>
          <w:b/>
        </w:rPr>
        <w:t>E. 3</w:t>
      </w:r>
    </w:p>
    <w:p>
      <w:r>
        <w:t>Sur le plan des qualifications juridiques, l'appelant conteste s'être rendu coupable de menaces envers sa compagne s’agissant des événements des 14 et 18 juillet 2011, dès lors que la plaignante n’aurait pas été véritablement effrayée ces jours-là.</w:t>
      </w:r>
    </w:p>
    <w:p>
      <w:r>
        <w:rPr>
          <w:b/>
        </w:rPr>
        <w:t>E. 3.1</w:t>
      </w:r>
    </w:p>
    <w:p>
      <w:r>
        <w:t>Aux termes de l’art. 180 al. 1 CP, celui qui, par une menace grave, aura alarmé ou effrayé une personne sera, sur plainte, puni d’une peine privative de liberté de trois ans au plus ou d’une peine pécuniaire. La punissabilité de l’auteur dépend de la réalisation de deux conditions: il faut, d’une part, que l’auteur ait émis une menace grave et, d’autre part, que la victime ait été alarmée ou effrayée par cet épisode.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consid. 3.1; ATF 99 IV 212 consid. 1a).</w:t>
      </w:r>
    </w:p>
    <w:p>
      <w:r>
        <w:rPr>
          <w:b/>
        </w:rPr>
        <w:t>E. 3.2</w:t>
      </w:r>
    </w:p>
    <w:p>
      <w:r>
        <w:t>En l'occurrence, il ressort sans ambiguïté des déclarations de la plaignante qu’à la suite des propos tenus par le prévenu le 14 juillet 2011, A.X.________ a paniqué et a appelé ses parents (cf. PV. aud. 2, p. 2). La plaignante a donc été alarmée et, partant, il y a lieu de retenir l’infraction de menaces à la charge du prévenu. Interpellée sur le point de savoir pour quelles raisons elle avait laissé entrer M.________ à son domicile le 18 juillet 2011, elle a déclaré que, quand elle avait ouvert la porte, ce dernier pleurait, qu’il avait bu et qu’elle avait eu pitié. Elle a également précisé que, ce jour-là, elle n’avait pas eu peur (cf. jgt, p. 9). Il faut donc admettre avec l’appelant que, sur ce point, c’est à tort que le premier juge a retenu l’infraction de menaces à sa charge, faute pour la plaignante d’avoir été effrayée lors de cette visite. L’appel doit donc être admis sur ce point.</w:t>
      </w:r>
    </w:p>
    <w:p>
      <w:r>
        <w:rPr>
          <w:b/>
        </w:rPr>
        <w:t>E. 4</w:t>
      </w:r>
    </w:p>
    <w:p>
      <w:r>
        <w:t>Vu l'abandon de l'accusation de menaces dans un cas, il appartient à la Cour de céans de déterminer la peine qui doit être infligée au prévenu.</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w:t>
      </w:r>
    </w:p>
    <w:p>
      <w:r>
        <w:rPr>
          <w:b/>
        </w:rPr>
        <w:t>E. 4.2</w:t>
      </w:r>
    </w:p>
    <w:p>
      <w:r>
        <w:t>En l'occurrence, M.________ s'est rendu coupable de lésions corporelles simples qualifiées dans trois cas, de menaces dans trois cas, d’injure et de contrainte à une occasion. Sa culpabilité est lourde, le prévenu s’en étant pris violemment à l’intégrité physique et psychique de la mère de ses enfants, imposant pendant des années à sa compagne un climat de terreur par ses menaces et ses coups. Les infractions sont en concours et le prévenu demeure dans le déni, n’hésitant pas à se positionner en victime et à accuser la plaignante d’être psychologiquement instable ou à prétexter d’un complot visant à l’éloigner de ses enfants. Il n’y a pas d’élément à décharge. Le prononcé d’une peine privative de liberté se justifie en l’espèce, car seule une peine de cette nature est susceptible d’avoir un effet dissuasif sur le prévenu. La quotité envisagée par le premier juge était en soi justifiée. Au vu de l’ensemble des circonstances, et pour tenir compte de l’abandon de l’accusation de menaces en ce qui concerne l’épisode du 18 juillet 2011, une peine privative de liberté de huit mois et vingt jours est adéquate à réprimer le comportement de M.________. Cette peine doit être assortie du sursis dès lors que le pronostic n’est pas entièrement défavorable en l’espèce.</w:t>
      </w:r>
    </w:p>
    <w:p>
      <w:r>
        <w:rPr>
          <w:b/>
        </w:rPr>
        <w:t>E. 5</w:t>
      </w:r>
    </w:p>
    <w:p>
      <w:r>
        <w:t>L’appelant conteste devoir un quelconque montant à la plaignante au titre du tort moral.</w:t>
      </w:r>
    </w:p>
    <w:p>
      <w:r>
        <w:rPr>
          <w:b/>
        </w:rPr>
        <w:t>E. 5.1</w:t>
      </w:r>
    </w:p>
    <w:p>
      <w:r>
        <w:t>Aux termes de l’art. 47 CO, le juge peut,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w:t>
      </w:r>
    </w:p>
    <w:p>
      <w:r>
        <w:rPr>
          <w:b/>
        </w:rPr>
        <w:t>E. 5.2</w:t>
      </w:r>
    </w:p>
    <w:p>
      <w:r>
        <w:t>En l’espèce, il ne fait pas de doute que A.X.________ a souffert physiquement et psychiquement pendant de nombreuses années de la violence du prévenu. Le climat de terreur dans lequel elle a vécu est au demeurant attesté par divers témoins. Le principe de l’allocation d’une indemnité pour tort moral se justifie et le montant de 2'500 fr. fixé par le premier juge échappe à toute critique. Il doit être confirmé. Le fait que la plaignante se soit rendue sans crainte chez le prévenu à une occasion quelque trois ans et demi après la séparation ne modifie en rien cette appréciation. Mal fondé, le moyen doit être rejeté.</w:t>
      </w:r>
    </w:p>
    <w:p>
      <w:r>
        <w:rPr>
          <w:b/>
        </w:rPr>
        <w:t>E. 6</w:t>
      </w:r>
    </w:p>
    <w:p>
      <w:r>
        <w:t>En définitive, l'appel doit être très partiellement admis et le jugement réformé dans le sens des considérants. Vu l'issue de la cause, les frais de la procédure d'appel, par 5'862 fr. 90, constitués de l'émolument de jugement (art. 21 al. 1 et 2 TFIP [Tarif des frais de procédure et indemnités en matière pénale du 28 septembre 2010 ; RSV 312.03.1]), ainsi que des indemnités allouées au défenseur d'office du prévenu et au conseil d'office de la plaignante (art. 135 al. 2 CPP; art. 422 al. 2 let. a CPP; art. 2 al. 2 ch. 1 TFIP), seront supportés à raison de quatre cinquièmes, soit par 4'690 fr. 30, par M.________ (art. 428 al. 1 CPP), le solde étant laissé à la charge de l'Etat. Sur la base de la liste des opérations produite par Me Parein, l'indemnité allouée au défenseur d'office de M.________ sera fixée à 1'939 fr., TVA comprise. L'avocate Genier Müller indique avoir consacré, hors audience de ce jour, 6 h 40 à la défense des intérêts de A.X.________, 13 h 50 de travail étant au demeurant effectué par son stagiaire. Ce temps est quelque peu surévalué, de sorte c'est un total de 15 h 30 heures qui sera retenu, soit 2 h de travail pour l'avocate et 13 h 30 pour son stagiaire. C'est ainsi des honoraires à hauteur de 1'845 fr. qu'il convient d'allouer à Me Genier Müller, montant auquel s'ajouteront une vacation, par 80 fr., les débours, par 13 fr. 80, et la TVA, par 155 fr. 10, ce qui représente un total de 2'093 fr. 90. Il convient de préciser que Me Genier Müller a contesté le montant de l'indemnité d'office qui lui avait été allouée en première instance. Son recours ayant été rejeté par la Chambre des recours pénale (CREP 29 mai 2015/372) et le montant de son indemnité confirmée, l'avocate a recouru au Tribunal fédéral, qui n'a pas encore statué. Le dossier doit donc être retourné à cette autorité pour qu'elle puisse se prononcer sur cette question. M.________ ne sera tenu de rembourser à l’Etat les quatre cinquièmes du montant de l’indemnité en faveur de son défenseur d’office et du conseil d’office de la plaignante que lorsque sa situation financière le permettra. La condamnation de M.________ étant confirmée, il n’y a pas lieu de statuer sur l’allocation d’une 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