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378 vom 28. April 2015</w:t>
      </w:r>
    </w:p>
    <w:p>
      <w:r>
        <w:t>VD Tribunal cantonal, 2015-04-28, FR</w:t>
      </w:r>
    </w:p>
    <w:p>
      <w:r>
        <w:rPr>
          <w:b/>
        </w:rPr>
        <w:t xml:space="preserve">Quelle: </w:t>
      </w:r>
      <w:r>
        <w:t>https://mcp.opencaselaw.ch/entscheid/vd_findinfo_Jug___2015___378</w:t>
      </w:r>
    </w:p>
    <w:p>
      <w:r>
        <w:t>FR: VD_FINDINFO Jug / 2015 / 378 du 28 avril 2015</w:t>
      </w:r>
    </w:p>
    <w:p>
      <w:r>
        <w:t>IT: VD_FINDINFO Jug / 2015 / 378 del 28 aprile 2015</w:t>
      </w:r>
    </w:p>
    <w:p>
      <w:pPr>
        <w:pStyle w:val="Heading2"/>
      </w:pPr>
      <w:r>
        <w:t>Regeste</w:t>
      </w:r>
    </w:p>
    <w:p>
      <w:r>
        <w:t>INJURE | 177 CP</w:t>
      </w:r>
    </w:p>
    <w:p>
      <w:pPr>
        <w:pStyle w:val="Heading2"/>
      </w:pPr>
      <w:r>
        <w:t>Erwägungen</w:t>
      </w:r>
    </w:p>
    <w:p>
      <w:r>
        <w:rPr>
          <w:b/>
        </w:rPr>
        <w:t>E. 1.1</w:t>
      </w:r>
    </w:p>
    <w:p>
      <w:r>
        <w:t>Aux termes de l’art. 398 al. 2 CPP, la juridiction d’appel jouit d’un plein pouvoir d’examen sur tous les points attaqués du jugement. L'art. 399 CPP dispose que l'appel doit être annoncé dans les dix jours qui suivent la communication du jugement, soit la remise ou la notification du dispositif écrit (al. 1). La déclaration d'appel doit, quant à elle, être déposée dans les vingt jours à compter de la notification du jugement motivé (al. 3).</w:t>
      </w:r>
    </w:p>
    <w:p>
      <w:r>
        <w:rPr>
          <w:b/>
        </w:rPr>
        <w:t>E. 1.2</w:t>
      </w:r>
    </w:p>
    <w:p>
      <w:r>
        <w:t>L’appel de A.G.________ a été interjeté dans les forme et délai légaux. Ses conclusions relatives à sa culpabilité et aux indemnités qu’il revendique à la charge des plaignants, sont recevables. Il n’en va en revanche pas de même de sa conclusion tendant à la condamnation des plaignants pour fausse déclaration d’une partie en justice au sens de l’art. 306 CP. Formulée à ce stade de la procédure et devant la Cour de céans, cette conclusion, qui se rapporte à des propos tenus lors d’une tentative de conciliation devant le procureur en date du 9 septembre 2014, est irrecevable. En effet, il n’appartient pas à la Cour d’appel pénale de se prononcer sur une éventuelle infraction qui n’a pas fait l’objet d’un jugement de première instance. Cette conclusion est dès lors irrecevable.</w:t>
      </w:r>
    </w:p>
    <w:p>
      <w:r>
        <w:rPr>
          <w:b/>
        </w:rPr>
        <w:t>E. 2</w:t>
      </w:r>
    </w:p>
    <w:p>
      <w:r>
        <w:t>Aux termes de l’art. 398 al. 3 CPP, l’appel peut être formé pour violation du droit, y compris l’excès et l’abus du pouvoir d’appréciation, le déni de justice et le retard injustifié, pour constatation incomplète ou erronée des faits et pour inopportunité.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CP, qui excluent la condamnation de l'auteur à une peine (Corboz, op. cit., n. 26 ad art. 177 CP et les auteurs cités). Si l’auteur a émis un jugement de valeur, on admet par analogie qu’il peut apporter les preuves libératoires aux mêmes conditions qu’en cas de diffamation pour ce qui concerne les faits qui fondent son jugement (Corboz, op. cit., n. 27 ad art. 177 CP). L'art. 173 ch. 3 CP dispose que l’auteur d’une diffamation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(cf. Corboz, La diffamation, SJ 1992 p. 629s. en partic. 653).</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L'injure peut consister dans la formulation d'un jugement de valeur offensant, mettant en doute l'honnêteté, la loyauté ou la moralité d'une personne de manière à la rendre méprisable en tant qu'être humain ou entité juridique (ATF 132 IV 112 c. 2.1 ; ATF 128 IV 260 c. 3.1 ; TF 6B_602/2009 du 29 septembre 2009 c. 2.2 ; Corboz, Les infractions en droit suisse, vol. I, 3 e éd. 2010,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 et les références citées). Lorsque l'auteur a allégué des faits attentatoires à l'honneur en s'adressant uniquement à la personne visée et qu'il tombe ainsi sous le coup de l'art. 177 CP, il est admis que sont aussi ouvertes les preuves libératoires selon l'art. 173 ch. 2 et</w:t>
      </w:r>
    </w:p>
    <w:p>
      <w:r>
        <w:rPr>
          <w:b/>
        </w:rPr>
        <w:t>E. 3.2</w:t>
      </w:r>
    </w:p>
    <w:p>
      <w:r>
        <w:t>En l’espèce, on ne saurait retenir que les affirmations contenues dans les lettres que l’appelant a adressées à A.P.________, où il se contente de relater le fait que celui-ci a été condamné pour avoir facilité le séjour illégal de son frère et pour lui avoir prêté son véhicule alors que celui-ci n’avait pas de permis, constituent une injure. Ces faits sont exacts et ont été sanctionnés par une ordonnance de condamnation. Les allégations de l’appelant sont en outre dépourvues de jugement de valeur. Il en va en revanche différemment du reproche formulé par l’appelant aux plaignants d’avoir « contribué, insisté et financé pour que l’adulte C.P.________ exerce des actes d’ordre sexuels avec l’enfant B.G.________ ». Cette affirmation met en doute l’honnêteté et la moralité des plaignants. Elle relève donc de l’injure au sens de l’art. 177 CP. L’appelant ne saurait en outre se prévaloir d’une preuve libératoire. En effet, il savait que l’enquête pénale ouverte à l’encontre de C.P.________ pour actes d’ordre sexuel avec des enfants avait donné lieu à une ordonnance de classement rendue le 18 juillet 2013, confirmée par la Chambre des recours pénale le 18 novembre 2013 (CREP 18 novembre 2013/696) et qu’en date du 6 mars 2014, le Tribunal fédéral avait déclaré irrecevable son recours contre cet arrêt (TF 6B_1221/2013 du 6 mars 2014). L’appelant ne peut dès lors pas ignorer que son allégation a déjà été considérée comme fausse. Le fait qu’il n’accepte pas l’ordonnance de classement rendue ne change rien sur ce point. Dans ses courriers à B.P.________, l’appelant accuse également cette dernière d’avoir fait « une fausse dénonciation et une tentative d’enlèvement », « manipulé un mineure, détournée, fait croire, faux espoirs, on étant consciente de la gravité de son avenir » et il la qualifie de « destructrice » et mentionne « les infractions commises les 9 et 10 juillet 2013 », faisant allusion à un appel téléphonique de B.P.________ à la police et à l’intervention de celle-ci qui a conduit le Service de la protection de la jeunesse à demander le retrait du droit de garde sur B.G.________ à ses parents. Par ces propos, l’appelant met en doute l’honnêteté de la plaignante et sa moralité, l’accusant notamment d’avoir enfreint la loi pénale, la rendant méprisable en tant qu’être humain. Il n’a pas amené la preuve libératoire de ses allégations de fausse dénonciation, de tentative d’enlèvement ou de manipulation. Il ressort au contraire du dossier que le 10 juillet 2013, la justice de paix a retiré à l’appelant et à son épouse la garde sur leur enfant B.G.________, notamment à la suite de l’intervention de la plaignante. L’appelant a agi intentionnellement de sorte que les conditions objectives de l’infraction d’injure sont réunies. Compte tenu de ce qui précède, la condamnation de A.G.________ pour injure au sens de l’art. 177 CP est fondée sur une appréciation des faits qui ne prête pas le flanc à la critique. Elle doit être confirmée.</w:t>
      </w:r>
    </w:p>
    <w:p>
      <w:r>
        <w:rPr>
          <w:b/>
        </w:rPr>
        <w:t>E. 4</w:t>
      </w:r>
    </w:p>
    <w:p>
      <w:r>
        <w:t>L’appelant a été condamné à une peine pécuniaire de 30 jours-amende à 30 fr. le jour, avec sursis pendant deux ans, ainsi qu’à une amende de 250 fr. à titre de sanction immédiate, convertible en huit jours de peine privative de liberté en cas de non paiement fautif de l’amende. La Cour d’appel pénale, qui n'est pas liée par les conclusions des parties (art. 391 al. 1 let. b CPP) et jouit d’un plein pouvoir d’examen sur tous les points attaqués du jugement (art. 398 al. 2 CPP), est compétente pour examiner d’office l’adéquation de cette peine.</w:t>
      </w:r>
    </w:p>
    <w:p>
      <w:r>
        <w:rPr>
          <w:b/>
        </w:rPr>
        <w:t>E. 4.1.1</w:t>
      </w:r>
    </w:p>
    <w:p>
      <w:r>
        <w:t>L’infraction d’injure est punie d’une peine pécuniaire de 90 jours-amende au plus (art. 177 al. 1 CP).</w:t>
      </w:r>
    </w:p>
    <w:p>
      <w:r>
        <w:rPr>
          <w:b/>
        </w:rPr>
        <w:t>E. 4.1.2</w:t>
      </w:r>
    </w:p>
    <w:p>
      <w:r>
        <w:t>L’art. 34 CP dispose que,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 6 ; TF 6B_845/2009 du 11 janvier 2010 c. 1 publié in : SJ 2010 I 205).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w:t>
      </w:r>
    </w:p>
    <w:p>
      <w:r>
        <w:rPr>
          <w:b/>
        </w:rPr>
        <w:t>E. 4.1.3</w:t>
      </w:r>
    </w:p>
    <w:p>
      <w:r>
        <w:t>Aux termes de l’art. 42 al. 4 CP, lorsque la peine prononcée est assortie du sursis, le juge peut infliger, à titre de sanction immédiate, une peine pécuniaire sans sursis ou une amende selon l’art. 106 CP (al. 4). Conformément à l’art. 106 CP, le montant maximum de l’amende est, sauf disposition contraire de la loi,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Il résulte de la place de l'art. 42 al. 4 CP dans la loi que la peine privative de liberté ou la peine pécuniaire assorties du sursis a un poids primordial et que la peine pécuniaire ou l'amende sans sursis qui vient s'ajouter ne revêt qu'un rôle secondaire.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Selon la jurisprudence du Tribunal fédéral, les peines combinées, dans leur somme totale, doivent être adaptées à la faute (ATF 135 IV 188 c. 3.4.4 ; ATF 134 IV 1 c. 4.5.2 ; ATF 134 IV 60 c. 7.3.2).</w:t>
      </w:r>
    </w:p>
    <w:p>
      <w:r>
        <w:rPr>
          <w:b/>
        </w:rPr>
        <w:t>E. 4.2</w:t>
      </w:r>
    </w:p>
    <w:p>
      <w:r>
        <w:t>En l’espèce, le tribunal de première instance a considéré que la culpabilité de l’appelant est importante, retenant comme éléments à charge que ce dernier n’a pris aucunement conscience des faits qui lui sont reprochés et qu’il ne s’est nullement remis en cause, ni n’a manifesté aucun regret. A décharge, le tribunal a tenu compte de l’absence de tout antécédent judiciaire (jgt., p. 12), bien que cet élément ait, sauf circonstances exceptionnelles non réalisées ici, un effet neutre sur la fixation de la peine et n'ait donc pas à être pris en considération dans un sens atténuant (ATF 136 IV 1 c. 2.6.4). La quotité de la peine prononcée, soit 30 jours-amende, est adéquate compte tenu de la culpabilité de l’appelant et de sa situation personnelle. Il convient de la confirmer. En revanche, le montant du jour-amende, fixé à 30 fr., ne tient pas suffisamment compte de la situation personnelle de l’appelant. Ce dernier, qui a émargé à l’aide sociale durant plusieurs années, n’a débuté une activité indépendante de jardinier paysagiste qu’au milieu de l’année 2014. Cette activité lui procure un revenu mensuel de l’ordre de 3'800 francs. Il est en outre seul à assumer l’ensemble des charges de sa famille, son épouse ne travaillant pas. Au vu de ces circonstances, le montant du jour-amende doit être arrêté à 20 francs. Le montant de l’amende, fixé à 250 fr., convertible en huit jours de peine privative de liberté en cas de non paiement fautif, ne tient également pas correctement compte du caractère accessoire de la peine pécuniaire au sens de la jurisprudence rappelée ci-dessus. La peine principale, prononcée avec sursis, étant en définitive fixée à 30 jours-amendes à 20 fr. le jour, le montant de l’amende peut être arrêté à 150 fr., convertible en deux jours de peine privative de liberté en cas de non paiement fautif. Le jugement de première instance doit être modifié dans ce sens.</w:t>
      </w:r>
    </w:p>
    <w:p>
      <w:r>
        <w:rPr>
          <w:b/>
        </w:rPr>
        <w:t>E. 5</w:t>
      </w:r>
    </w:p>
    <w:p>
      <w:r>
        <w:t>En définitive, l’appel de A.G.________ est partiellement admis en ce sens que le montant du jour-amende est réduit de 30 fr. à 20 fr., alors que le montant de l’amende est réduit de 250 fr. à 150 fr., la peine privative de liberté de substitution, en cas de non paiement fautif de l’amende, passant de huit jours à deux jours. Le jugement est maintenu pour le surplus. Il n’y a pas lieu d’allouer aux plaignants l’indemnité qu’ils ont demandée dans la mesure où ils ne l’ont ni requise ni chiffrée (cf. art. 433 al. 2 CPP). Vu l’issue de la cause, les frais de la présente procédure, uniquement constitués de l’émolument d’arrêt, par 1’720 fr. (art. 21 al. 1 et 2 TFIP [tarif des frais de procédure et indemnités en matière pénale du 28 septembre 2010 ; RSV 312.03.1]), doivent être mis par quatre cinquièmes à la charge de A.G.________,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