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376 vom 21. April 2015</w:t>
      </w:r>
    </w:p>
    <w:p>
      <w:r>
        <w:t>VD Tribunal cantonal, 2015-04-21, FR</w:t>
      </w:r>
    </w:p>
    <w:p>
      <w:r>
        <w:rPr>
          <w:b/>
        </w:rPr>
        <w:t xml:space="preserve">Quelle: </w:t>
      </w:r>
      <w:r>
        <w:t>https://mcp.opencaselaw.ch/entscheid/vd_findinfo_Jug___2015___376</w:t>
      </w:r>
    </w:p>
    <w:p>
      <w:r>
        <w:t>FR: VD_FINDINFO Jug / 2015 / 376 du 21 avril 2015</w:t>
      </w:r>
    </w:p>
    <w:p>
      <w:r>
        <w:t>IT: VD_FINDINFO Jug / 2015 / 376 del 21 aprile 2015</w:t>
      </w:r>
    </w:p>
    <w:p>
      <w:pPr>
        <w:pStyle w:val="Heading2"/>
      </w:pPr>
      <w:r>
        <w:t>Regeste</w:t>
      </w:r>
    </w:p>
    <w:p>
      <w:r>
        <w:t>FIXATION DE LA PEINE, IN DUBIO PRO REO, APPRÉCIATION DES PREUVES, RÉVOCATION DU SURSIS, LOI FÉDÉRALE SUR LES STUPÉFIANTS ET LES SUBSTANCES PSYCHOTROPES | 305bis ch. 1 CP, 19 al. 1 LStup, 19 ch. 2 LStup, 19a ch. 1 LStup, 115 al. 1 let. b LEtr,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Interjetés dans les formes et délais légaux contre un jugement d’un tribunal de première instance ayant clos la procédure (art. 398 al. 1 CPP), l'appel interjeté par X.________ ainsi que l'appel joint déposé par le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Il convient d’examiner en premier lieu l’appel du prévenu.</w:t>
      </w:r>
    </w:p>
    <w:p>
      <w:r>
        <w:rPr>
          <w:b/>
        </w:rPr>
        <w:t>E. 3.1</w:t>
      </w:r>
    </w:p>
    <w:p>
      <w:r>
        <w:t>L’appelant soutient en premier lieu que le tribunal aurait violé le principe de la présomption d’innocence, en particulier s’agissant des faits énoncés sous lettres C.2.4, C.2.5, C.2.7 et C.2.8 ci-dessus. C’est à tort que les premiers juges n’auraient pas retenu sa version des faits, soit qu’il avait vendu à V.________ de la marijuana et non de la cocaïne (C.2.4), qu’il aurait vendu au total 400 ou 450 gr. de cocaïne (C.2.5), que la commande du 24 février 2014 ne lui était pas entièrement destinée et devait se répartir entre différents vendeurs (C.2.7) et enfin qu’il n’avait servi que d’intermédiaire pour les versements d’argent à l’étranger (C.2.8).</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 2c ;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cf. aussi, quant à la notion d’arbitraire, ATF 136 III 552 c. 4.2).</w:t>
      </w:r>
    </w:p>
    <w:p>
      <w:r>
        <w:rPr>
          <w:b/>
        </w:rPr>
        <w:t>E. 3.3</w:t>
      </w:r>
    </w:p>
    <w:p>
      <w:r>
        <w:t>En l’espèce, la Cour de céans, pour les motifs développés ci-dessous, considère que les premiers juges ont correctement apprécié les éléments probatoires sur chacun des points invoqués par l’appelant.</w:t>
      </w:r>
    </w:p>
    <w:p>
      <w:r>
        <w:rPr>
          <w:b/>
        </w:rPr>
        <w:t>E. 3.3.1</w:t>
      </w:r>
    </w:p>
    <w:p>
      <w:r>
        <w:t>S’agissant des faits retenus sous lettre C.2.4, V.________ a clairement mis en cause l’appelant comme l’un de ses deux fournisseurs de cocaïne, X.________ étant par ailleurs son principal fournisseur (PV aud. 12, R. 14 et R. 24). Comme l’ont relevé à juste titre les premiers juges, on ne voit pas pour quelle raison V.________ s’incriminerait plus lourdement, en reconnaissant avoir revendu des drogues dures plutôt que douces. Il ne peut dès lors être donné aucun crédit aux dénégations de X.________ selon lesquelles les transactions entre les deux protagonistes n’auraient porté que sur de la marijuana. C’est donc bien une vente de 268 grammes de cocaïne qui doit être retenue à l’encontre de l’appelant. Au taux de pureté moyen pour 2013 de 38 % – plus favorable à l’accusé que le taux applicable pour les ventes sur des quantités de 10 à 100 grammes – c’est la vente d’une quantité de 177,84 grammes de drogue pure qui sera retenue à la charge de X.________.</w:t>
      </w:r>
    </w:p>
    <w:p>
      <w:r>
        <w:rPr>
          <w:b/>
        </w:rPr>
        <w:t>E. 3.3.2</w:t>
      </w:r>
    </w:p>
    <w:p>
      <w:r>
        <w:t>S’agissant des quantités de drogue énoncées sous lettre C.2.5 ci-dessus, elles reposent non seulement sur les transactions mises en évidence par les enquêteurs – notamment les nombreux contrôles téléphoniques effectués, étant précisé que chaque transaction a été soigneusement analysée pour en déduire les quantités de drogue fournies par l’appelant à chacun de ses interlocuteurs et que seules les discussions où il était question de quantité ou de prix (grammes ou montants) n’ont été retenues (P. 66, p. 12 et ss) –, mais également sur les versions fournies par le prévenu durant l’enquête. En effet, quoi qu’en dise l’appelant, il s’est bien rétracté s’agissant du nombre de livraisons de son fournisseur principal. Ainsi, selon la version donnée durant l’enquête, ces livraisons étaient au nombre de huit (PV aud. 13, R. 22) ; elles ne seraient toutefois plus qu’au nombre de quatre selon la version présentée aux débats de première instance (jugement du 21 avril 2015, p. 5). Or, ces rétractations ne sont pas crédibles. En effet, comme on l’a dit, lors de ses premières auditions en cours d’enquête, l’appelant a admis avoir reçu huit livraisons de son fournisseur principal, chaque livraison portant sur une quantité comprise entre 100 et 150 grammes de cocaïne (PV aud. 12, R. 22), ainsi qu’une livraison de 50 grammes d’un second fournisseur. Il a donc admis avoir acheté et écoulé entre 850 et 1'250 grammes de cocaïne. Or, ces chiffres correspondent à ceux établis sur la base des écoutes téléphoniques effectuées, soit 1'400 grammes au total (P. 66, p. 18). Au vu de ces éléments, la Cour de céans considère que les premières déclarations du prévenu – selon lesquelles il aurait été livré à huit reprises – emportent la conviction dès lors qu’elles sont corroborées par les calculs effectués par la police sur la base des écoutes téléphoniques. C’est donc bien une quantité de 1'400 grammes de cocaïne vendue qui doit être retenue à l’encontre de X.________, pour une valeur de 84'000 fr., puisque, de son propre aveu, il vendait sa marchandise à 60 fr. le gramme. Pour le surplus, à juste titre, l’appelant ne conteste pas le taux moyen de pureté de 29 % retenu, dès lors que celui-ci est plus favorable que le taux moyen pour l’année 2013. La quantité de stupéfiants vendue par X.________ représente donc 406 grammes de cocaïne pure.</w:t>
      </w:r>
    </w:p>
    <w:p>
      <w:r>
        <w:rPr>
          <w:b/>
        </w:rPr>
        <w:t>E. 3.3.3</w:t>
      </w:r>
    </w:p>
    <w:p>
      <w:r>
        <w:t>S’agissant de la livraison du 24 février 2014 (lettre C.2.7 ci-dessus), la Cour de céans a acquis la conviction que la livraison de cocaïne effectuée ce jour-là était entièrement destinée à l’appelant. En effet, X.________ a réceptionné seul la totalité de cette marchandise. Il a toujours mis hors de cause B.________ – qui était présent au moment où la mule est arrivée – expliquant que celui-ci n’avait pas assisté à la transaction et qu’il ne savait pas ce qui s’était passé entre la mule et lui. A l’audience de première instance, il a également déclaré qu’il avait l’intention de revendre les 500 grammes de cocaïne qui lui avaient été livrés (jugement du 21 avril 2015, p. 8), confirmant ainsi les déclarations faites en cours d’instruction, lors desquelles il n’a jamais mentionné le fait que cette livraison pourrait être en partie destinée à des tiers (PV aud. 2, R. 7), admettant même explicitement que l’entier de la livraison lui était destiné (PV aud. 4, ligne 45). Enfin, contrairement à ce que soutient l’appelant, au regard de l’ensemble de son activité délictueuse – qui porte sur de grosses quantités de drogue – une telle livraison n’apparaît pas inimaginable. De toute manière, il y a lieu de constater que même si la Cour de céans n’avait pas retenu que la marchandise lui était entièrement destinée, le comportement consistant en la seule prise de possession de cette marchandise destinée au trafic aurait été punissable.</w:t>
      </w:r>
    </w:p>
    <w:p>
      <w:r>
        <w:rPr>
          <w:b/>
        </w:rPr>
        <w:t>E. 3.3.4</w:t>
      </w:r>
    </w:p>
    <w:p>
      <w:r>
        <w:t>Enfin, c’est à juste titre que les premiers juges ont qualifié la version de l’appelant de fantaisiste s’agissant de l’envoi d’argent à l’étranger (lettre C.2.8 ci-dessus). En effet, l’appelant, qui soutient avoir servi d’intermédiaire pour des tiers en vue d’entrer en contact avec le dénommé « Papa » dont ils n’auraient pas eu le numéro, cherche manifestement à minimiser l’ampleur des montants transférés à l’étranger. Ces versements ont fait l’objet de plusieurs conversations téléphoniques, lesquelles ont permis d’établir les faits, mais aucune conversation ne fait état de discussions que l’appelant aurait eues avec des tiers lui demandant de servir d’intermédiaire, alors même que l’appelant était sur écoute. Au vu de ces éléments, il est incontestable que l’intégralité des montants a été versée par X.________ et que ces montants provenaient de son activité délictueuse à défaut d’autre activité lucrative.</w:t>
      </w:r>
    </w:p>
    <w:p>
      <w:r>
        <w:rPr>
          <w:b/>
        </w:rPr>
        <w:t>E. 3.4</w:t>
      </w:r>
    </w:p>
    <w:p>
      <w:r>
        <w:t>Pour le surplus, l’appelant ne conteste pas les autres faits retenus à son encontre. En définitive, comme l’ont retenu les juges de première instance, il y a donc lieu de constater que X.________ s’est rendu coupable d’infraction à la loi fédérale sur les stupéfiants, d’infraction grave à la loi fédérale sur les stupéfiants, de contravention à la loi fédérale sur les stupéfiants, d’infraction à la loi fédérale sur les étrangers et de blanchiment d’argent.</w:t>
      </w:r>
    </w:p>
    <w:p>
      <w:r>
        <w:rPr>
          <w:b/>
        </w:rPr>
        <w:t>E. 4</w:t>
      </w:r>
    </w:p>
    <w:p>
      <w:r>
        <w:t>L’appelant conteste la peine prononcée à son encontre. Il soutient que celle-ci est excessive et que les premiers juges n’auraient pas suffisamment tenu compte de sa collaboration en cours d’enquête et des regrets exprimés.</w:t>
      </w:r>
    </w:p>
    <w:p>
      <w:r>
        <w:rPr>
          <w:b/>
        </w:rPr>
        <w:t>E. 4.1</w:t>
      </w:r>
    </w:p>
    <w:p>
      <w:r>
        <w:t>Les règles générales régissant la fixation de la peine ont été rappelées dans les arrêts publiés aux ATF 136 IV 55 et 134 IV 17 (c. 2.1 et les références citées), auxquels il peut être renvoyé.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 3.2; TF 6B_632/2014 du 27 octobre 2014 c. 1.2 et les références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2b/aa; TF 6B_632/2014 précité c.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 1.2; TF 6B_107/2013 du 15 mai 2013 c. 2.1.1 et les références citées).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 TF 6B_567/2012 du 18 décembre 2012 c. 3.2 et les références citées).</w:t>
      </w:r>
    </w:p>
    <w:p>
      <w:r>
        <w:rPr>
          <w:b/>
        </w:rPr>
        <w:t>E. 4.2</w:t>
      </w:r>
    </w:p>
    <w:p>
      <w:r>
        <w:t>En l’espèce, la culpabilité de l’appelant doit être qualifiée de lourde. En effet, en quelques mois seulement, il a écoulé une importante quantité de cocaïne pure et venait d’en acquérir 155 grammes supplémentaires juste avant son interpellation. La dernière livraison, qu’il a reçue à son domicile par l’intermédiaire d’une mule ayant effectué le trajet depuis un fournisseur en Hollande, est significative de l’importance que l’appelant avait acquise dans le trafic de stupéfiants ; il pouvait obtenir des livraisons portant sur des quantités proches du demi-kilo de cocaïne et il avait des contacts internationaux, étant précisé que l’essentiel du trafic de l’appelant a eu lieu en Suisse. Par ailleurs, il n’était pas un petit revendeur de rue, puisqu’il ne faisait affaire qu’avec des autres revendeurs africains, après avoir coupé sa marchandise pour maximiser son profit. Malgré son absence d’activité lucrative dans notre pays, le produit de son activité délictueuse, qui constituait dès lors son seul revenu, lui a permis de s’assurer une vie confortable dans un studio dont le loyer s’élevait à 1'000 fr. et d’envoyer d’importantes sommes d’argent à l’étranger. A charge, on retiendra encore le concours d’infractions ainsi que le fait que l’appelant est demeuré en Suisse et a recommencé à commettre des infractions malgré une première condamnation en 2012 à une peine de six mois de privation de liberté avec sursis. Il a manifestement agi par appât du gain. Contrairement à ce que soutient l’appelant, il n’y a pas matière à retenir sa bonne collaboration à l’établissement des faits ; d’abord, il ne les a reconnus qu’une fois les preuves présentées – notamment les écoutes téléphoniques ainsi que les mises en cause des trafiquants et des consommateurs — et encore que partiellement, dès lors qu’il en conteste encore une partie aujourd’hui. Enfin, comme l’ont à juste titre relevé les premiers juges, les revirements à l’audience de jugement montrent que la prise de conscience est encore loin d’être complète. A décharge, il y a lieu de tenir compte de la situation personnelle de l’appelant, migrant africain qui s’est retrouvé dans une situation précaire depuis son départ d’Afrique, ainsi que des aveux partiels consentis lors de l’enquête et du fait que l’appelant était lui-même consommateur sans être toutefois dépendant. Tout bien considéré, la peine privative de liberté de 54 mois prononcée par les premiers juges est adéquate et doit être confirmée, de même que l’amende de 500 fr., convertible en 5 jours de peine privative de liberté de substitution en cas de non paiement fautif, sanctionnant la consommation de stupéfiants. La détention avant jugement sera déduite, de même que onze jours de détention à titre de réparation du tort moral causé par la détention subie dans des conditions illicites.</w:t>
      </w:r>
    </w:p>
    <w:p>
      <w:r>
        <w:rPr>
          <w:b/>
        </w:rPr>
        <w:t>E. 5</w:t>
      </w:r>
    </w:p>
    <w:p>
      <w:r>
        <w:t>L’appelant conteste enfin la révocation du sursis accordé le 31 août 2012 faisant valoir que cette révocation est disproportionnée en raison de la lourde condamnation prononcée dans la présente affaire et du caractère différent des causes, la précédente condamnation faisant suite à une bagarre.</w:t>
      </w:r>
    </w:p>
    <w:p>
      <w:r>
        <w:rPr>
          <w:b/>
        </w:rPr>
        <w:t>E. 5.1</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(arrêt précité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 5.3).</w:t>
      </w:r>
    </w:p>
    <w:p>
      <w:r>
        <w:rPr>
          <w:b/>
        </w:rPr>
        <w:t>E. 5.2</w:t>
      </w:r>
    </w:p>
    <w:p>
      <w:r>
        <w:t>En l’espèce, la révocation du sursis précédent s’impose, même s’il s’agit d’infractions en partie différentes. L’appelant a récidivé en commettant des actes graves durant le délai d’épreuve. S’il a été interpellé quelques mois avant la fin du délai d’épreuve, son activité délictueuse a commencé dès le début de celui-ci. Son comportement – en particulier les dénégations de l’appelant en cours d’enquête mais surtout aux débats de première instance après plus d’une année de détention provisoire – démontre que l’appelant n’a opéré aucune réflexion en raison de sa détention et que sa prise de conscience est insuffisante pour considérer que l’exécution de la peine principale suffirait à le dissuader de commettre de nouvelles infractions. Mal fondé, le moyen doit être rejeté.</w:t>
      </w:r>
    </w:p>
    <w:p>
      <w:r>
        <w:rPr>
          <w:b/>
        </w:rPr>
        <w:t>E. 6</w:t>
      </w:r>
    </w:p>
    <w:p>
      <w:r>
        <w:t>Le Ministère public, appelant par voie de jonction, considère que la peine prononcée par les premiers juges trop clémente et qu’une peine privative de liberté de cinq ans devrait être prononcée.</w:t>
      </w:r>
    </w:p>
    <w:p>
      <w:r>
        <w:rPr>
          <w:b/>
        </w:rPr>
        <w:t>E. 6.1</w:t>
      </w:r>
    </w:p>
    <w:p>
      <w:r>
        <w:t>Les critères de fixation de la peine ont déjà été énoncés aux considérants 4.1 et 4.2 ci-dessus. Comme déjà dit, les premiers juges n’ont ignoré aucun des éléments pertinents pour la fixation de la peine et celle-ci est adéquate.</w:t>
      </w:r>
    </w:p>
    <w:p>
      <w:r>
        <w:rPr>
          <w:b/>
        </w:rPr>
        <w:t>E. 7</w:t>
      </w:r>
    </w:p>
    <w:p>
      <w:r>
        <w:t>En définitive, l’appel de X.________ et l’appel joint du Ministère public doivent être rejetés. Vu l’issue de la cause, les frais d’appel seront mis par moitié à la charge de X.________, le solde étant laissé à la charge de l’Etat (art. 428 al. 1, 1 re phrase, CPP). Outre l'émolument, par 2’270 fr. (art. 21 al. 1 et 2 TFIP [Tarif des frais de procédure et indemnités en matière pénale du 28 septembre 2010; RSV 312.03.1]), ces frais comprennent l’indemnité allouée au défenseur d’office de l’appelant. A cet égard, Me Céline Jarry-Lacombe a produit une liste d’opérations faisant état de 20,43 heures d’activité (P. 122). Compte tenu de la nature de la cause, de la connaissance du dossier acquise en première instance et des opérations nécessaires pour la défense des intérêts de son client, le nombre d’heures annoncé s’avère trop élevé, en particulier s’agissant des heures facturées au titre de « suivi du dossier ». Tout bien considéré, il sera tenu compte de 15 heures d’activité, de deux vacations à 120 fr. et de débours par 50 francs. C’est donc une indemnité de 3'229 fr. 20, y compris la TVA, qui doit être allouée pour la procédure d’appel. Le prévenu n e sera tenu de rembourser à l’Etat la part mise à sa charge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