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369 vom 24. Februar 2015</w:t>
      </w:r>
    </w:p>
    <w:p>
      <w:r>
        <w:t>VD Tribunal cantonal, 2015-02-24, FR</w:t>
      </w:r>
    </w:p>
    <w:p>
      <w:r>
        <w:rPr>
          <w:b/>
        </w:rPr>
        <w:t xml:space="preserve">Quelle: </w:t>
      </w:r>
      <w:r>
        <w:t>https://mcp.opencaselaw.ch/entscheid/vd_findinfo_Jug___2015___369</w:t>
      </w:r>
    </w:p>
    <w:p>
      <w:r>
        <w:t>FR: VD_FINDINFO Jug / 2015 / 369 du 24 février 2015</w:t>
      </w:r>
    </w:p>
    <w:p>
      <w:r>
        <w:t>IT: VD_FINDINFO Jug / 2015 / 369 del 24 febbraio 2015</w:t>
      </w:r>
    </w:p>
    <w:p>
      <w:pPr>
        <w:pStyle w:val="Heading2"/>
      </w:pPr>
      <w:r>
        <w:t>Regeste</w:t>
      </w:r>
    </w:p>
    <w:p>
      <w:r>
        <w:t>VIOLATION DU DEVOIR D'ASSISTANCE OU D'ÉDUCATION, SURSIS À L'EXÉCUTION DE LA PEINE | 219 CP, 42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invoque tout d'abord une motivation insuffisante du jugement attaqué s'agissant des art. 42 et 219 CP.</w:t>
      </w:r>
    </w:p>
    <w:p>
      <w:r>
        <w:rPr>
          <w:b/>
        </w:rPr>
        <w:t>E. 3.1</w:t>
      </w:r>
    </w:p>
    <w:p>
      <w:r>
        <w:t>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 ils peuvent être limités aux questions décisives (ATF 133 III 439 c. 3.3). Le droit d’être entendu est une garantie constitutionnelle de nature formelle dont la violation entraîne en principe l’annulation de la décision attaquée, indépendamment des chances de succès du recours sur le fond (ATF 135 I 187 c. 2.2; ATF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ATF 133 I 201 c. 2.2).</w:t>
      </w:r>
    </w:p>
    <w:p>
      <w:r>
        <w:rPr>
          <w:b/>
        </w:rPr>
        <w:t>E. 3.2</w:t>
      </w:r>
    </w:p>
    <w:p>
      <w:r>
        <w:t>En l'espèce, le jugement est peut-être succinct mais suffisamment motivé pour permettre à l’appelant de savoir pour quelles raisons il a été condamné pour le chef d’accusation de violation du devoir d’assistance ou d’éducation et pour quelles raisons le sursis lui a été refusé. L’appelant le démontre lui-même à l’appui de sa déclaration d’appel entièrement motivée. Ce moyen se confond en réalité avec les autres griefs contenus dans la déclaration de l’appelant. Au demeurant, la Cour de céans revoit les faits avec un plein pouvoir d’examen et discutera chacun des moyens invoqués par l’appelant, si bien que le vice invoqué est de toute manière réparé. Infondé, ce grief doit être rejeté.</w:t>
      </w:r>
    </w:p>
    <w:p>
      <w:r>
        <w:rPr>
          <w:b/>
        </w:rPr>
        <w:t>E. 4</w:t>
      </w:r>
    </w:p>
    <w:p>
      <w:r>
        <w:t>L'appelant conteste s'être rendu coupable de violation du devoir d’assistance ou d’éducation.</w:t>
      </w:r>
    </w:p>
    <w:p>
      <w:r>
        <w:rPr>
          <w:b/>
        </w:rPr>
        <w:t>E. 4.1</w:t>
      </w:r>
    </w:p>
    <w:p>
      <w:r>
        <w:t>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 1b; ATF 125 IV 64 c. 1a).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 1a). Il importe peu que les parents vivent ou non avec l’enfant; même s’ils sont séparés de fait, leur obligation d’éducation et d’assistance subsiste (TF 6B_457/2012 du 29 octobre 2013 c 1.1.2; Moreillon, Quelques réflexions sur la violation du devoir d’assistance ou d’éducation [art. 219 nouveau CP], in: Revue pénale suisse, 1998, p. 435).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 1b; ATF 125 IV 64 c. 1a). A titre d’exemple d’une mise en danger concrète du développement psychique d’un mineur, la doctrine mentionne notamment d’empêcher un mineur de fréquenter l’école (Moreillon, op. cit., p. 438). En pratique, il sera souvent difficile de déterminer quand il y aura un risque pour le développement du mineur. II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(cf. TF 6B_457/2013 du 29 octobre 2013 c. 1.2; TF 6S.339/2003 du 12 novembre 2003 c. 2.3). Du point de vue subjectif, l’auteur peut avoir agi intentionnellement, auquel cas le dol éventuel suffit (ATF 125 IV 64 c.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 2)</w:t>
      </w:r>
    </w:p>
    <w:p>
      <w:r>
        <w:rPr>
          <w:b/>
        </w:rPr>
        <w:t>E. 4.2</w:t>
      </w:r>
    </w:p>
    <w:p>
      <w:r>
        <w:t>En l'espèce, la première condition de l'art. 219 CP est réalisée. Il est en effet manifeste que l'appelant avait une position de garant envers son neveu, ce qu'il ne conteste d'ailleurs pas. S'agissant de la violation des devoirs d'assistance et d'éducation, l’appelant a fait passer B.________, né le [...] 1996, comme étant son fils X.________, né le [...] 1992. Il l’a présenté comme tel à son épouse et aux autorités suisses dans le cadre du regroupement familial lors de sa venue en Suisse en 2007. Ce mensonge a notamment eu pour effet de scolariser B.________ dans une classe d’adolescents de treize ans alors qu’il était âgé de seulement neuf ans. L’appelant conteste tous les griefs retenus dans l’acte d’accusation (jgt., p. 7). A l'instar du premier juge, la Cour de céans ne voit pas pour quelles raisons B.________ qui, visiblement craint les représailles de son oncle (cf. PV aud. 2, p. 2), aurait inventé de telles accusations qui sont corroborées, quand elles le peuvent, par l'ex-épouse de l'appelant, H.________ (PV aud. 1 et 6). Le rapport de police établit d’ailleurs que lors d’une visite domiciliaire de l’appartement de l’appelant, deux personnes totalement étrangères à l’appelant occupaient les lieux (P. 14). L'appelant n'a par ailleurs cessé de se contredire durant l'enquête. Il faut ainsi retenir pour crédible la version des faits relatés par B.________, qui sont constitutifs d’une violation de l’art. 219 CP. Au vu des faits décrits par la victime, la mise en danger de son développement est évidente. On peut ici se référer également à la plainte du tuteur général du 4 mars 2011 (P. 4). Enfin, l'élément intentionnel de cette disposition est réalisé, un risque d’atteinte au développement de son neveu ne pouvant échapper à l’appelant, doué d’une intelligence normale. Au vu de ce qui précède, les conditions objectives et subjectives de l'infraction de violation du devoir d'assistance ou d'éducation sont réalisées. L'appel doit également être rejeté sur ce point.</w:t>
      </w:r>
    </w:p>
    <w:p>
      <w:r>
        <w:rPr>
          <w:b/>
        </w:rPr>
        <w:t>E. 5</w:t>
      </w:r>
    </w:p>
    <w:p>
      <w:r>
        <w:t>L’appelant ne conteste pas la peine en tant que telle. Examinée d’office par la Cour d’appel selon son propre pouvoir d’appréciation, la peine pécuniaire de 200 jours-amende, à 30 fr. le jour, a été fixée en application de critères adéquats à charge et à décharge et conformément à la culpabilité de l’appelant. Elle doit dès lors être confirmée.</w:t>
      </w:r>
    </w:p>
    <w:p>
      <w:r>
        <w:rPr>
          <w:b/>
        </w:rPr>
        <w:t>E. 6</w:t>
      </w:r>
    </w:p>
    <w:p>
      <w:r>
        <w:t>L'appelant requiert l’octroi du sursis.</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6.2</w:t>
      </w:r>
    </w:p>
    <w:p>
      <w:r>
        <w:t>En l'espèce, C.________ a de nombreux antécédents. Ni des peines privatives de liberté, ni des peines pécuniaires n’ont permis de le détourner de la récidive. L’appelant ne fait rien de sa vie et vit dans l’illégalité. Il a ergoté et n’a nullement pris conscience de la gravité de ses agissements à l'égard de son neveu. Au regard de ces éléments, c'est à juste titre que le premier juge a considéré que le pronostic était entièrement défavorable, de sorte qu’aucun sursis ne peut être accordé.</w:t>
      </w:r>
    </w:p>
    <w:p>
      <w:r>
        <w:rPr>
          <w:b/>
        </w:rPr>
        <w:t>E. 7</w:t>
      </w:r>
    </w:p>
    <w:p>
      <w:r>
        <w:t>En définitive, l'appel de C.________ doit être rejeté et le jugement attaqué intégralement confirmé. Vu l'issue de la cause, les frais d'appel doivent être mis à la charge de C.________ (art. 428 al. 1 CPP). Outre l'émolument, qui se monte à 1'610 fr. (art. 21 al. 1 et 2 TFIP [Tarif des frais de procédure et indemnités en matière pénale du 28 septembre 2010; RSV 312.03.1]), ces frais comprennent l’indemnité allouée au défenseur d’office de l'appelant, par 1’792 fr. 80 , TVA et débours inclus. C.________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