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349 vom 11. September 2015</w:t>
      </w:r>
    </w:p>
    <w:p>
      <w:r>
        <w:t>VD Tribunal cantonal, 2015-09-11, FR</w:t>
      </w:r>
    </w:p>
    <w:p>
      <w:r>
        <w:rPr>
          <w:b/>
        </w:rPr>
        <w:t xml:space="preserve">Quelle: </w:t>
      </w:r>
      <w:r>
        <w:t>https://mcp.opencaselaw.ch/entscheid/vd_findinfo_Jug___2015___349</w:t>
      </w:r>
    </w:p>
    <w:p>
      <w:r>
        <w:t>FR: VD_FINDINFO Jug / 2015 / 349 du 11 septembre 2015</w:t>
      </w:r>
    </w:p>
    <w:p>
      <w:r>
        <w:t>IT: VD_FINDINFO Jug / 2015 / 349 del 11 settembre 2015</w:t>
      </w:r>
    </w:p>
    <w:p>
      <w:pPr>
        <w:pStyle w:val="Heading2"/>
      </w:pPr>
      <w:r>
        <w:t>Regeste</w:t>
      </w:r>
    </w:p>
    <w:p>
      <w:r>
        <w:t>SUSPENSION DE LA PROCÉDURE, VIOLENCE DOMESTIQUE, CLASSEMENT DE LA PROCÉDURE, FRAIS DE LA PROCÉDURE | 55a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d’O.________ est recevable. L’appel relève de la procédure écrite, dès lors qu’il porte uniquement sur la question des frais (art. 406 al. 1 let. d CPP).</w:t>
      </w:r>
    </w:p>
    <w:p>
      <w:r>
        <w:rPr>
          <w:b/>
        </w:rPr>
        <w:t>E. 2.1</w:t>
      </w:r>
    </w:p>
    <w:p>
      <w:r>
        <w:t>L’appelant fait valoir que sa culpabilité n’est avérée que pour l’infraction de voies de fait qui ne justifiait pas « une procédure de l’ampleur de celle qui s’est déroulée ». En outre, son comportement ne serait pas fautif, car il s’explique par la provocation dont il aurait été l’objet. Enfin, le versement de 1'500 fr. de frais de justice serait disproportionné par rapport au comportement qui peut lui être reproché.</w:t>
      </w:r>
    </w:p>
    <w:p>
      <w:r>
        <w:rPr>
          <w:b/>
        </w:rPr>
        <w:t>E. 2.2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 prévenu libéré ne peut être condamné au paiement des frais de procédure que si, par un comportement juridiquement critiquable, il a provoqué la procédure pénale dirigée contre lui ou s’il en a entravé le cours. La condamnation aux frais d’un prévenu ou d’un accusé libéré ne résulte pas d’une responsabilité pour une faute pénale mais d’une responsabilité proche du droit civil, née d’un comportement fautif. Il est compatible avec les art. 32 al. 1 Cst. et 6 al. 2 CEDH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(ATF 116 Ia 162 c. 2d et 2e). Le juge doit fonder son prononcé sur des faits incontestés ou déjà clairement établis (ATF 112 Ia 371 c. 2a in fine).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c. 1.2 ; TF 1B_12/2012 du 20 février 2012 c. 2 et les références citées).</w:t>
      </w:r>
    </w:p>
    <w:p>
      <w:r>
        <w:rPr>
          <w:b/>
        </w:rPr>
        <w:t>E. 2.3</w:t>
      </w:r>
    </w:p>
    <w:p>
      <w:r>
        <w:t>En l’espèce, l’appelant ne conteste pas avoir adopté un comportement illicite, puisqu’il admet que les violences commises au préjudice de son épouse seraient, à défaut de classement de la procédure, constitutives de voies de fait. Ce constat suffit pour retenir qu’il a provoqué l’ouverture de la procédure pénale et contrairement à ce qu’il soutient, l’existence d’autres violences plus graves découlant des coups et d’une strangulation n’étaient pas nécessaires à l’exercice de la poursuite pénale, les voies de fait contre le conjoint se poursuivant également d’office (art. 126 al. 2 let. b CP). De toute manière, les autres éléments figurant au dossier démontrent que le comportement civilement répréhensible de l’appelant ne s’est pas limité aux seules violences qu’il admet dans sa déclaration d’appel. Il résulte en particulier du rapport médical du CHUV, secteur psychiatrique Ouest, du 22 juillet 2013 que l’appelant a porté atteinte à la personnalité de son épouse (art. 28 CC) de diverses manières, en la menaçant et en la dénigrant (P. 12). Les frais de justice ont donc été mis à juste titre à sa charge. Enfin, le montant des frais de justice n’apparaît pas disproportionné et n’aurait, quoi qu’il en soit, pas été différent pour instruire l’épisode de violence auquel l’appelant reconnaît avoir participé.</w:t>
      </w:r>
    </w:p>
    <w:p>
      <w:r>
        <w:rPr>
          <w:b/>
        </w:rPr>
        <w:t>E. 3</w:t>
      </w:r>
    </w:p>
    <w:p>
      <w:r>
        <w:t>L’appel doit en conséquence être rejeté. Les frais de la procédure d’appel sont arrêtés à 550 fr. (art. 21 al. 1 TFIP [Tarif des frais de procédure et indemnités en matière pénale du 28 septembre 2010; RSV 312.03.1]) et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