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347 vom 11. Dezember 2013</w:t>
      </w:r>
    </w:p>
    <w:p>
      <w:r>
        <w:t>VD Tribunal cantonal, 2013-12-11, FR</w:t>
      </w:r>
    </w:p>
    <w:p>
      <w:r>
        <w:rPr>
          <w:b/>
        </w:rPr>
        <w:t xml:space="preserve">Quelle: </w:t>
      </w:r>
      <w:r>
        <w:t>https://mcp.opencaselaw.ch/entscheid/vd_findinfo_Jug___2015___347</w:t>
      </w:r>
    </w:p>
    <w:p>
      <w:r>
        <w:t>FR: VD_FINDINFO Jug / 2015 / 347 du 11 décembre 2013</w:t>
      </w:r>
    </w:p>
    <w:p>
      <w:r>
        <w:t>IT: VD_FINDINFO Jug / 2015 / 347 del 11 dicembre 2013</w:t>
      </w:r>
    </w:p>
    <w:p>
      <w:pPr>
        <w:pStyle w:val="Heading2"/>
      </w:pPr>
      <w:r>
        <w:t>Regeste</w:t>
      </w:r>
    </w:p>
    <w:p>
      <w:r>
        <w:t>DROIT DE LA FONCTION PUBLIQUE, CLASSE DE TRAITEMENT, EMPLOYÉ PUBLIC, SALAIRE, POUVOIR D'APPRÉCIATION, EXCÈS ET ABUS DU POUVOIR D'APPRÉCIATION, ARBITRAIRE DANS L'APPLICATION DU DROIT, CONSTATATION DES FAITS, ÉGALITÉ DE TRAITEMENT | 8 al. 1 Cst., 19 al. 1 LPers-VD, 98 al. 1 LPers-VD, 6 DecFo, 7 DecFo</w:t>
      </w:r>
    </w:p>
    <w:p>
      <w:pPr>
        <w:pStyle w:val="Heading2"/>
      </w:pPr>
      <w:r>
        <w:t>Erwägungen</w:t>
      </w:r>
    </w:p>
    <w:p>
      <w:r>
        <w:rPr>
          <w:b/>
        </w:rPr>
        <w:t>E. 5</w:t>
      </w:r>
    </w:p>
    <w:p>
      <w:r>
        <w:t>août 2015 La décision rendue ce jour est notifiée au recourant, par l’intermédiaire de son représentant, ainsi qu'à l'intimée, par l’intermédiaire de son conseil. Un appel au sens des articles 308 ss CPC peut être formé dans un délai de 30 jours dès la notification de la présente décision en déposant au greffe du Tribunal cantonal un mémoire écrit et motivé. La décision objet de l’appel doit être jointe. La greffière : Eléonore EGLI,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