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343 vom 4. März 2015</w:t>
      </w:r>
    </w:p>
    <w:p>
      <w:r>
        <w:t>VD Tribunal cantonal, 2015-03-04, FR</w:t>
      </w:r>
    </w:p>
    <w:p>
      <w:r>
        <w:rPr>
          <w:b/>
        </w:rPr>
        <w:t xml:space="preserve">Quelle: </w:t>
      </w:r>
      <w:r>
        <w:t>https://mcp.opencaselaw.ch/entscheid/vd_findinfo_Jug___2015___343</w:t>
      </w:r>
    </w:p>
    <w:p>
      <w:r>
        <w:t>FR: VD_FINDINFO Jug / 2015 / 343 du 4 mars 2015</w:t>
      </w:r>
    </w:p>
    <w:p>
      <w:r>
        <w:t>IT: VD_FINDINFO Jug / 2015 / 343 del 4 marzo 2015</w:t>
      </w:r>
    </w:p>
    <w:p>
      <w:pPr>
        <w:pStyle w:val="Heading2"/>
      </w:pPr>
      <w:r>
        <w:t>Regeste</w:t>
      </w:r>
    </w:p>
    <w:p>
      <w:r>
        <w:t>COMMANDEMENT DE PAYER, CONTRAINTE{DROIT PÉNAL} | 55 al. 3 CC, 181 CP</w:t>
      </w:r>
    </w:p>
    <w:p>
      <w:pPr>
        <w:pStyle w:val="Heading2"/>
      </w:pPr>
      <w:r>
        <w:t>Erwägungen</w:t>
      </w:r>
    </w:p>
    <w:p>
      <w:r>
        <w:rPr>
          <w:b/>
        </w:rPr>
        <w:t>E. 1</w:t>
      </w:r>
    </w:p>
    <w:p>
      <w:r>
        <w:t>Interjeté dans les formes et délai légaux (art. 399 CPP) par une partie ayant la qualité pour recourir contre le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w:t>
      </w:r>
    </w:p>
    <w:p>
      <w:r>
        <w:rPr>
          <w:b/>
        </w:rPr>
        <w:t>E. 3</w:t>
      </w:r>
    </w:p>
    <w:p>
      <w:r>
        <w:t>Les appelantes se plaignent d’une violation du droit : elles considèrent que c’est à tort que le prévenu a été libéré du chef d’accusation de tentative de contrainte et soutiennent que les éléments constitutifs de l’infraction de l’art. 181 CP sont en l’espèce réalisés, au stade de la tentative, à tout le moins par dol éventuel.</w:t>
      </w:r>
    </w:p>
    <w:p>
      <w:r>
        <w:rPr>
          <w:b/>
        </w:rPr>
        <w:t>E. 3.1</w:t>
      </w:r>
    </w:p>
    <w:p>
      <w:r>
        <w:t>Le premier juge a d’abord considéré que la solvabilité et la volonté de payer ses dettes n’entraient pas dans la définition de l’honneur et qu’il ne pouvait dès lors pas y avoir d’atteinte à l’honneur par la notification de commandements de payer. En ce qui concerne la contrainte, le premier juge a estimé qu’il n’était pas exclu que le prévenu, respectivement sa société B.________ SA, aient des prétentions contre G.________ SA en raison de manquements commis par la direction des travaux, voire contre L.________ personnellement, sur la base de l’art. 55 al. 3 CC. En ce qui concerne le montant, le risque a été évoqué qu’il faille démolir l’immeuble, trop haut, de sorte que des poursuites pour 10 millions de francs avant que l’expert ne rende son rapport, puis de 5 millions, étaient raisonnables. Par surabondance, l’art. 21 CP (erreur sur l’illicéité) pouvait être applicable au prévenu qui a uniquement laissé faire son défenseur.</w:t>
      </w:r>
    </w:p>
    <w:p>
      <w:r>
        <w:rPr>
          <w:b/>
        </w:rPr>
        <w:t>E. 3.2</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La tentative est réprimée par l’art. 22 CP. Ainsi, l’art. 181 CP prévoit alternativement trois moyens de contrainte : l’usage de la violence, la menace d’un dommage sérieux ou tout acte entravant la personne dans sa liberté d’action. La menace est un moyen de pression psychologique consistant à annoncer un dommage futur dont la réalisation est présentée comme dépendante de la volonté de l'auteur, sans toutefois qu'il soit nécessaire que cette dépendance soit effective (ATF 117 IV 445 c. 2b; 106 IV 125 c. 2a) ni que l'auteur ait réellement la volonté de réaliser sa menace (ATF 105 IV 120 c. 2a).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119 IV 301 c. 2a et les références). Selon la jurisprudence, la contrainte n'est contraire au droit que si elle est illicite (ATF 120 IV 17 c. 2a p. 19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moeurs (ATF 137 IV 326 c. 3.3.1 p. 328; 134 IV 216 c. 4.1 p. 218; 120 IV 17 c. 2a/bb p. 20). Ainsi, menacer d'une plainte pénale pour une infraction que rien ne permet sérieusement de soupçonner est un moyen en soi inadmissible (ATF 120 IV 17 c. 2a/bb pp. 20 s.). En revanche, réclamer le paiement d'une créance ou menacer de déposer une plainte pénale (lorsque l'on est victime d'une infraction) constituent en principe des actes licites; ils ne le sont plus lorsque le moyen utilisé n'est pas dans un rapport raisonnable avec le but visé et constitue un moyen de pression abusif, notamment lorsque l'objet de la plainte pénale est sans rapport avec la prestation demandée ou si la menace doit permettre d'obtenir un avantage indu (ATF 120 IV 17 c. 2a/bb p. 20 et les arrêts cités; au sujet de la contrainte susceptible d'être réalisée par un commandement de payer, cf. arrêt 6S. 853/2000 du 9 mai 2001 et 6S. 874/1996 du 26 février 1997).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cas échéant, donc à l'entraver d'une manière substantielle dans sa liberté de décision ou d’action (cf. ATF 120 IV 17 c. 2 aa ; ATF 96 IV 58 c. 3). Certes, faire notifier un commandement de payer lorsqu’on est fondé à réclamer une telle somme est licite. En revanche, utiliser un tel procédé comme moyen de pression pour dissuader la personne visée d’agir correctement par exemple dans sa profession est clairement abusif, donc illicite (cf. ATF 115 III 18 c. 3, 81 c. 3b et SJ 1987 p. 156 ss). Il est donc concevable qu’une tentative de contrainte soit réalisée lorsqu’un commandement de payer d’un montant important est notifié, que le poursuivi allègue que la créance est manifestement inexistante et que le procédé a pour but de pousser le poursuivi à adopter un certain comportement (CAPE 3 juin 2011/35 c. 3.2) Enfin, l’infraction de l’art. 181 CP est intentionnelle, le dol éventuel étant suffisant (Dupuis et al., Petit Commentaire du Code pénal, Bâle 2012, nn. 35 et 36 ad art. 181 CP et les référence citées).</w:t>
      </w:r>
    </w:p>
    <w:p>
      <w:r>
        <w:rPr>
          <w:b/>
        </w:rPr>
        <w:t>E. 3.3</w:t>
      </w:r>
    </w:p>
    <w:p>
      <w:r>
        <w:t>En l’espèce, il semble constant que la relation contractuelle a été nouée exclusivement entre R.________ et G.________ SA, comme cela ressort du contrat du 10 décembre 2008 (P. 8/3). Le dossier révèle que c’est bien ainsi qu’R.________ paraissait le concevoir puisqu’il n’a déposé son action en dommages intérêts au Danemark qu’en son nom et seulement contre G.________ SA (P. 29/2/21). On peut également citer la requête d’expertise hors procès entre les mêmes parties, même si cette procédure ne noue pas l’instance au fond. Néanmoins, on trouve au dossier cinq factures adressées par G.________ SA non pas à R.________ personnellement, mais bien à B.________ SA, sans aucune référence à R.________ personnellement (P. 23/5 à 23/9). Les appelantes ne prennent pas position sur ce point et elles ne soutiennent en particulier pas que ces factures reposeraient sur une autre relation contractuelle qui n’aurait rien à voir avec le litige. Ces factures ont été établies sur une période de plusieurs mois (le 5 janvier 2010, le 1 er janvier 2011, le 20 février 2011 et le 1 er mars 2011), ce qui ne laisse pas forcément penser qu’il s’agit d’une erreur, mais bien que les appelantes elles-mêmes ont tenu à ces occasions B.________ SA pour leur débitrice. Dans ces circonstances, il n’apparaît pas critiquable d’avoir voulu interrompre la prescription également en faveur de B.________ SA, car la situation juridique, sur le plan civil, n’apparaissait pas d’une clarté indiscutable du fait des appelantes elles-mêmes. La question est plus délicate en ce qui concerne les poursuites notifiées à L.________ elle-même. A cet égard, la référence à l’art. 55 al. 3 CC, retenue par le premier juge, n’est pas dénuée de pertinence. A cela s’ajoute le fait que certains procès-verbaux mentionnent comme architecte du maître de l’ouvrage « Mme L.________ [...] » (nom de jeune fille de L.________) ou « Mme L.________ », sans référence à G.________ SA (P. 23/11 et 23/12). De plus, une responsabilité délictuelle ne pouvait pas d’emblée être exclue. Dans ces circonstances, il était certes précautionneux, mais en tout cas pas abusif, de se prémunir contre tout risque en cherchant à interrompre la prescription aussi contre L.________ personnellement. Finalement, lors de l’envoi des deux premières séries de commandements de payer, tout risque de dommage total de l’immeuble, à savoir l’obligation de démolir et de reconstruire en raison des défauts, ne pouvait être raisonnablement exclu. Le montant des poursuites est certes important, mais peut encore être considéré comme compatible avec les démarches d’un plaideur prudent. A cela s’ajoute que le montant des réquisitions a été adapté, lorsque l’intimé a eu connaissance des constatations de l’expert. On peut également douter que l’aspect subjectif de l’infraction soit réalisé, puisque l’intimé a, à chaque fois, proposé au préalable aux plaignantes de signer des déclarations de renonciation à la prescription, dont la teneur était parfaitement usuelle, en ce sens qu’elles mentionnaient expressément qu’elles ne contenaient aucune reconnaissance de responsabilité. Le prévenu n’a ainsi pas voulu faire pression sur les appelantes, mais se retrouvait lui-même contraint à faire notifier des poursuites, ne disposant pas d’autre moyen, en tout cas avant le dépôt des conclusions de l’expert, pour interrompre la prescription.</w:t>
      </w:r>
    </w:p>
    <w:p>
      <w:r>
        <w:rPr>
          <w:b/>
        </w:rPr>
        <w:t>E. 4.1</w:t>
      </w:r>
    </w:p>
    <w:p>
      <w:r>
        <w:t>En définitive, mal fondés, les appels de L.________ et G.________ SA doivent être rejetés et le jugement attaqué confirmé.</w:t>
      </w:r>
    </w:p>
    <w:p>
      <w:r>
        <w:rPr>
          <w:b/>
        </w:rPr>
        <w:t>E. 4.2</w:t>
      </w:r>
    </w:p>
    <w:p>
      <w:r>
        <w:t>Une indemnité d’un montant de 1'620 fr., TVA comprise, sera allouée à R.________ à titre de dépens pénaux pour la procédure d’appel (art. 429 al. 1 let. a CPP). Son défenseur, Me Pai, a produit une liste des opérations faisant état de 9.75 heures, hors audience, à 350 fr. de l’heure, consacrées à la défense des intérêts de l’intimé R.________ (P. 52). Le temps indiqué est excessif compte tenu des caractéristiques du dossier et du fait qu’au stade de la procédure d’appel, le défenseur, consulté depuis le début de la procédure pénale, avait déjà acquis une parfaite connaissance du dossier ; il sera ainsi ramené à 4.6 heures, audience comprise, pour la procédure d’appel. Compte tenu de la difficulté modérée de la cause, la tarif horaire doit également être ramené à 300 francs. Les appelantes en seront solidairement débitrices (art. 428 al. 1 CPP).</w:t>
      </w:r>
    </w:p>
    <w:p>
      <w:r>
        <w:rPr>
          <w:b/>
        </w:rPr>
        <w:t>E. 4.3</w:t>
      </w:r>
    </w:p>
    <w:p>
      <w:r>
        <w:t>Vu l'issue de la cause, les frais d’appel, constitués du seul émolument de jugement, par 1'390 fr. (art. 21 al. 1 TFIP [Tarif des frais de procédure et indemnités en matière pénale du 28 septembre 2010; RSV 312.03.1]) seront mis, par moitié chacune, à la charge des appelantes qui succombent. La Cour d’appel pénale appliquant les art. 126 al. 1 let. b, 348 ss, 398 ss, 428 et 429 CPP, prononce : I. L’appel est rejeté. II. Le jugement rendu le 4 mars 2015 par le Tribunal de police de l’arrondissement de l’Est vaudois est confirmé selon le dispositif suivant : " I. déclare R.________ non coupable de diffamation et de tentative de contrainte et l’acquitte ; II.              rejette les conclusions civiles de L.________ et de G.________ SA, ainsi que leurs conclusions en paiement d’une indemnité à forme de l’art. 433 CPP ; III.              laisse les frais de la cause, arrêtés à 1'450 fr., à la charge de l’Etat ; IV.              alloue à R.________ une indemnité de 13'500 fr. (treize mille cinq cents francs) pour ses frais de défense et dit ne pas y avoir lieu d’indemniser plus amplement R.________ au titre de l’art. 429 CPP. " III. Une indemnité de 1'620 fr., TVA incluse, est allouée à titre de dépens pénaux pour la procédure d’appel à R.________, à la charge des appelantes, solidairement entre elles. IV. Les frais d'appel, y compris l'indemnité allouée au chiffre III ci-dessus, sont mis par moitié à la charge de L.________ et par moitié à la charge de G.________ SA. V. Le jugement motivé est exécutoire. Le président :              La greffière : Du 3 septembre 2015 Le dispositif du jugement qui précède est communiqué aux appelantes et aux autres intéressés. La greffière : Du Le jugement qui précède, dont la rédaction a été approuvée à huis clos, est notifié, par l'envoi d'une copie complète, à : - Me Bernard Katz, avocat (pour G.________ SA et L.________), - Me Sandeep Pai, avocat (pour R.________), - Ministère public central, et communiqué à : - M. le Président du Tribunal de police de l'arrondissement de l’Est vaudois, - M. le Procureur de l'arrondissement de l’Est vaudois,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