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334 vom 29. Januar 2015</w:t>
      </w:r>
    </w:p>
    <w:p>
      <w:r>
        <w:t>VD Tribunal cantonal, 2015-01-29, FR</w:t>
      </w:r>
    </w:p>
    <w:p>
      <w:r>
        <w:rPr>
          <w:b/>
        </w:rPr>
        <w:t xml:space="preserve">Quelle: </w:t>
      </w:r>
      <w:r>
        <w:t>https://mcp.opencaselaw.ch/entscheid/vd_findinfo_Jug___2015___334</w:t>
      </w:r>
    </w:p>
    <w:p>
      <w:r>
        <w:t>FR: VD_FINDINFO Jug / 2015 / 334 du 29 janvier 2015</w:t>
      </w:r>
    </w:p>
    <w:p>
      <w:r>
        <w:t>IT: VD_FINDINFO Jug / 2015 / 334 del 29 gennaio 2015</w:t>
      </w:r>
    </w:p>
    <w:p>
      <w:pPr>
        <w:pStyle w:val="Heading2"/>
      </w:pPr>
      <w:r>
        <w:t>Regeste</w:t>
      </w:r>
    </w:p>
    <w:p>
      <w:r>
        <w:t>APPRÉCIATION DES PREUVES, IN DUBIO PRO REO, ACQUITTEMENT, INJURE, MENACE{DROIT PÉNAL} |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L'appelant conteste l'acquittement des chefs d'accusation d'injure et menaces dont a bénéficié S.________. Il soutient qu'il y aurait suffisamment d'éléments au dossier permettant de retenir sa version des faits, de sorte que c'est à tort que le premier juge a mis le prévenu au bénéfice de ses déclarations.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w:t>
      </w:r>
    </w:p>
    <w:p>
      <w:r>
        <w:rPr>
          <w:b/>
        </w:rPr>
        <w:t>E. 3.2</w:t>
      </w:r>
    </w:p>
    <w:p>
      <w:r>
        <w:t>En l'espèce, il est admis que lorsque, le matin du 24 octobre 2013, B.L.________ s'est rendu à l'hôtel R.________ dans le but de récupérer les affaires de son père, S.________ n'avait pas été mis au courant de sa venue, son avocat ayant vraisemblablement omis de l'avertir du fax du conseil d’A.L.________ reçu la veille l'informant qu'une personne désignée par ce dernier se présenterait à la réception de l'hôtel le 24 octobre 2013, à 10h00 (pièce 6, annexes). Il est également admis qu'une fois arrivé à l'hôtel, le plaignant a rencontré S.________, que celui-ci l'a invité à discuter dans une salle de conférence, qu'il a fermé les portes, qu'il a demandé au personnel de ne pas le déranger et que les deux parties se sont alors retrouvées seules. A ce stade, les versions divergent. Dans sa plainte, B.L.________ a expliqué que S.________ avait commencé à l'insulter et à le menacer au moment où il avait refusé de lui communiquer les coordonnées de son père. Le prévenu a contesté quant à lui toute menace ou insulte envers le plaignant; il a admis que le jour des faits, il y avait eu des tensions entre eux et qu'il avait pu tout au plus élevé la voix et a expliqué que l'appelant était, comme les deux fois précédentes où il l'avait rencontré, arrogant et insistant et qu'il s'était présenté comme un homme de loi. Le premier juge a à juste titre relevé qu'aucun des témoins entendus en cours d'enquête et aux débats, dont il a fidèlement résumé les déclarations au considérant</w:t>
      </w:r>
    </w:p>
    <w:p>
      <w:r>
        <w:rPr>
          <w:b/>
        </w:rPr>
        <w:t>E. 3.3</w:t>
      </w:r>
    </w:p>
    <w:p>
      <w:r>
        <w:t>Compte tenu de la libération du prévenu, il n’y a pas matière à l’allocation de conclusions civiles.</w:t>
      </w:r>
    </w:p>
    <w:p>
      <w:r>
        <w:rPr>
          <w:b/>
        </w:rPr>
        <w:t>E. 4</w:t>
      </w:r>
    </w:p>
    <w:p>
      <w:r>
        <w:t>En définitive, l’appel de B.L.________ doit être rejeté et le jugement attaqué intégralement confirmé. Vu l’issue de la cause, les frais de la procédure d’appel doivent être mis à la charge de B.L.________ (art. 428 al.1 CPP). Une indemnité pour les dépenses occasionnées par l'exercice raisonnable de ses droits de procédure d'un montant de 1'500 fr., tout compris, est allouée à l'intimé. Elle sera mise à la charge de la partie plaignante, qui succombe, en application de l’art. 432 CPP, la conclusion du défenseur du prévenu tendant à l’allocation d’une indemnité à forme de l’art. 429 CPP (p. 5 supra ) devant s’entendre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