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331 vom 15. Januar 2015</w:t>
      </w:r>
    </w:p>
    <w:p>
      <w:r>
        <w:t>VD Tribunal cantonal, 2015-01-15, FR</w:t>
      </w:r>
    </w:p>
    <w:p>
      <w:r>
        <w:rPr>
          <w:b/>
        </w:rPr>
        <w:t xml:space="preserve">Quelle: </w:t>
      </w:r>
      <w:r>
        <w:t>https://mcp.opencaselaw.ch/entscheid/vd_findinfo_Jug___2015___331</w:t>
      </w:r>
    </w:p>
    <w:p>
      <w:r>
        <w:t>FR: VD_FINDINFO Jug / 2015 / 331 du 15 janvier 2015</w:t>
      </w:r>
    </w:p>
    <w:p>
      <w:r>
        <w:t>IT: VD_FINDINFO Jug / 2015 / 331 del 15 gennaio 2015</w:t>
      </w:r>
    </w:p>
    <w:p>
      <w:pPr>
        <w:pStyle w:val="Heading2"/>
      </w:pPr>
      <w:r>
        <w:t>Regeste</w:t>
      </w:r>
    </w:p>
    <w:p>
      <w:r>
        <w:t>ESCROQUERIE EN MATIÈRE DE PRESTATIONS, PEINE PÉCUNIAIRE, FIXATION DE LA PEINE | 146 CP, 34 CP, 42 CP</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A.P.________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en particulier que l'auteur ait usé de tromperie à l’égard de la dupe et que celle-ci ait été astucieuse (ATF 128 IV 18 c. 3a ; ATF 122 II 422 c. 3a ; ATF 122 IV 246 c. 3a et les arrêts cités). Selon la jurisprudence, 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 ATF 128 IV 18 c. 3a). Ces principes sont également applicables en matière d'aide sociale (ATF 127 IV 163 ; TF 6B_22/2011 du 23 mai 2011 c. 2.1).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6B_576/2010 du 25 janvier 2011 c. 4.1.2 et les réf. citées). La jurisprudence a notamment considéré comme une escroquerie le fait de dissimuler des éléments de revenus ou de patrimoine à l’autorité d’aide sociale dans le dessein de capter des prestations (CAPE 23 août 2013/186 c. 3.2 ; CAPE 31 août 2011/105 c. 5.1.2; CCASS 11 janvier 2010/4 c. 3a). Lorsque l’acte litigieux consiste dans le versement par l’Etat de prestations prévues par la loi, il ne peut y avoir escroquerie consommée que si le fait sur lequel portait la tromperie astucieuse et l’erreur était propre, s’il avait été connu par I’Etat, à conduire au refus, conformément à la loi, de telles prestations. Ce n’est en effet que dans ce cas, lorsque les prestations n’étaient en réalité pas dues, que l’acte consistant à les verser s’avère préjudiciable pour l’Etat et donc lui cause un dommage. A défaut de dommage, il n’y a pas escroquerie consommée; seule une tentative au sens de l’art. 22 CP peut être envisagée à charge de l’auteur (ATF 128 IV 18 c. 3b; TF 6B_791/2013 du 3 mars 2014 c. 3.1.3). Du point de vue subjectif, l’auteur doit avoir agi intentionnellement et dans un dessein d’enrichissement illégitime, un résultat correspondant n’étant cependant pas une condition de l’infraction (ATF 134 IV 210 c. 5.3 ; ATF 119 IV 210 c. 4b). Le dol éventuel suffit.</w:t>
      </w:r>
    </w:p>
    <w:p>
      <w:r>
        <w:rPr>
          <w:b/>
        </w:rPr>
        <w:t>E. 3.2</w:t>
      </w:r>
    </w:p>
    <w:p>
      <w:r>
        <w:t>Selon l'art. 75 LASV (Loi sur l'action sociale vaudoise du 2 décembre 2003; RSV 850 051), celui qui aura trompé l'autorité par des déclarations inexactes, aura omis de lui fournir les informations indispensables ou ne lui aura pas fourni les informations par elle requises, est passible d'une amende de 10'000 fr. au plus. Contrairement à l'escroquerie (art. 146 CP), les infractions de l'art. 75 LASV ne nécessitent pas un comportement astucieux (CREP du 24 juillet 2013/503 c. 2.3 et les références citées).</w:t>
      </w:r>
    </w:p>
    <w:p>
      <w:r>
        <w:rPr>
          <w:b/>
        </w:rPr>
        <w:t>E. 3.3</w:t>
      </w:r>
    </w:p>
    <w:p>
      <w:r>
        <w:t>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 2d).</w:t>
      </w:r>
    </w:p>
    <w:p>
      <w:r>
        <w:rPr>
          <w:b/>
        </w:rPr>
        <w:t>E. 4</w:t>
      </w:r>
    </w:p>
    <w:p>
      <w:r>
        <w:t>A.P.________ fait valoir que son épouse serait la seule responsable des abus dénoncés par les services sociaux. S'il admet avoir su que son épouse travaillait à 30 ou 40 %, il prétend avoir ignoré ce qu'elle déclarait ou non à l'administration aux motifs que leurs relations étaient mauvaises, et qu'il remplissait et signait en premier le formulaire, avant de laisser sa femme en faire autant pour ce qui la concernait. N'ayant, pour sa part, rien caché et en se taisant parce qu'il ne savait rien, l'appelant qu'il n'aurait commis aucune infraction, pas même une violation de l'art. 75 LASV, faute de volonté délictuelle. En apposant sa signature sur le formulaire ad hoc rempli par les deux conjoints pour leur RI de couple, A.P.________ attestait de la réalité des indications fournies à l'autorité. L'appelant savait en effet que son épouse travaillait et, à l'évidence, ne pouvait ignorer qu'un revenu d'insertion, dont ils bénéficiaient les deux, était perçu mois après mois. D'ailleurs, les époux avaient déjà été condamnés ensemble en 2005 pour le même motif, de sorte que la version de l'appelant n'est pas crédible. En outre, la dissimulation n'était pas facilement vérifiable puisque seule l'enquête administrative incluant l'analyse des transactions bancaires a permis d'établir la réalité des faits incriminés, jusque là soupçonnés. Il s'agit donc bien d'une tromperie astucieuse au sens de l'art. 146 CP, ce qui exclut une application de l'art. 75 LASV (cf. supra c. 3.2). Sur la base de ces renseignements erronés, l'administration a fourni aux époux A.P.________ des prestations qu'elle aurait été amenée à refuser en tout ou partie si elle avait connu la réalité des faits. Avec son épouse, le prévenu a profité de ces prestations. Il s'est donc également enrichi illégitimement aux dépens de l'Etat. Enfin, le caractère intentionnel de la dissimulation ne fait aucun doute puisque A.P.________ ne pouvait ignorer, par les formules qu'il a signées, qu'il devait annoncer au CSR toutes les ressources des personnes vivant sous le même toit. Tel était bien le cas à l'époque des faits incriminés, puisqu'aux dires du prévenu, le couple ne se serait séparé qu'en juin 2014. L'élément subjectif est donc également réalisé, le dol éventuel étant d'ailleurs suffisant. A.P.________ s'est donc rendu coupable d'escroquerie (art. 146 CP), comme coauteur.</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Le droit au sursis s'examine selon les critères posés à l'art. 42 CP qui ont été rappelés dans l'arrêt publié aux ATF 135 IV 180 c. 2.1. Le sursis est désormais la règle dont on ne peut s'écarter qu'en présence d'un pronostic défavorable. Il prime en cas d'incertitude (ATF 134 IV 5 c. 4.2.2).</w:t>
      </w:r>
    </w:p>
    <w:p>
      <w:r>
        <w:rPr>
          <w:b/>
        </w:rPr>
        <w:t>E. 5.2</w:t>
      </w:r>
    </w:p>
    <w:p>
      <w:r>
        <w:t>L'appelant demande principalement son acquittement, conclusion mal fondée, et à titre subsidiaire, une peine avec sursis. Toutefois, c'est une peine pécuniaire ferme qui doit sanctionner le comportement illicite de A.P.________. En effet, le pronostic est défavorable au vu du déni obstiné de A.P.________, ainsi qu'au regard de ses antécédents. Compte tenu de la durée de la période délictueuse, de l'importance des montants perçus à tort et de la récidive, une peine de 150 jours-amende est adéquate pour sanctionner le comportement de A.P.________. Le montant du jour-amende sera arrêté à 20 fr. pour tenir compte de sa situation financière au moment du jugement (art. 34 CP; ATF 134 IV 1 c. 4. 2. 1 p. 5).</w:t>
      </w:r>
    </w:p>
    <w:p>
      <w:r>
        <w:rPr>
          <w:b/>
        </w:rPr>
        <w:t>E. 6</w:t>
      </w:r>
    </w:p>
    <w:p>
      <w:r>
        <w:t>En définitive, l'appel de A.P.________ doit être rejeté et le jugement entrepris confirmé.</w:t>
      </w:r>
    </w:p>
    <w:p>
      <w:r>
        <w:rPr>
          <w:b/>
        </w:rPr>
        <w:t>E. 6.1</w:t>
      </w:r>
    </w:p>
    <w:p>
      <w:r>
        <w:t>Il convient d'allouer à Me Denis Weber l'indemnité d'office qu'il demande, soit 1'933 fr. 20. Ce montant, qui tient compte du travail effectué et de l'ampleur du dossier, représente 9 heures d'honoraires, une vacation à 120 fr., 50 fr. de débours et 8% de TVA.</w:t>
      </w:r>
    </w:p>
    <w:p>
      <w:r>
        <w:rPr>
          <w:b/>
        </w:rPr>
        <w:t>E. 6.2</w:t>
      </w:r>
    </w:p>
    <w:p>
      <w:r>
        <w:t>Les frais d'appel, par 3'623 fr. 20, ainsi que l'indemnité d'office allouée au défenseur d'office, sont mis à la charge deA.P.________, qui succombe (art. 428 al. 1 CPP). Ce dernier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