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327 vom 2. Dezember 2014</w:t>
      </w:r>
    </w:p>
    <w:p>
      <w:r>
        <w:t>VD Tribunal cantonal, 2014-12-02, FR</w:t>
      </w:r>
    </w:p>
    <w:p>
      <w:r>
        <w:rPr>
          <w:b/>
        </w:rPr>
        <w:t xml:space="preserve">Quelle: </w:t>
      </w:r>
      <w:r>
        <w:t>https://mcp.opencaselaw.ch/entscheid/vd_findinfo_Jug___2015___327</w:t>
      </w:r>
    </w:p>
    <w:p>
      <w:r>
        <w:t>FR: VD_FINDINFO Jug / 2015 / 327 du 2 décembre 2014</w:t>
      </w:r>
    </w:p>
    <w:p>
      <w:r>
        <w:t>IT: VD_FINDINFO Jug / 2015 / 327 del 2 dicembre 2014</w:t>
      </w:r>
    </w:p>
    <w:p>
      <w:pPr>
        <w:pStyle w:val="Heading2"/>
      </w:pPr>
      <w:r>
        <w:t>Regeste</w:t>
      </w:r>
    </w:p>
    <w:p>
      <w:r>
        <w:t>BLANCHIMENT D'ARGENT, LOI FÉDÉRALE SUR LES STUPÉFIANTS ET LES SUBSTANCES PSYCHOTROPES, FIXATION DE LA PEINE, ÉGALITÉ DE TRAITEMENT | 305bis CP, 47 CP, 19 LStup, 116 al. 1 let. a LEtr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L’appelante conteste la durée de l’infraction à la LEtr. Elle soutient que la contravention retenue à son encontre ne peut couvrir que la même période où M.________ s’est trouvé en infraction, soit du 28 septembre 2012 au 26 février 2013 et non pas depuis le 1 er juillet 2012.</w:t>
      </w:r>
    </w:p>
    <w:p>
      <w:r>
        <w:rPr>
          <w:b/>
        </w:rPr>
        <w:t>E. 3.1</w:t>
      </w:r>
    </w:p>
    <w:p>
      <w:r>
        <w:t>Aux termes de l’art. 116 al. 1 LEtr, est puni d'une peine privative de liberté d'un an au plus ou d'une peine pécuniaire quiconque en Suisse ou à l'étranger, facilite l'entrée, la sortie ou le séjour illégal d'un étranger ou participe à des préparatifs dans ce but. Selon l’alinéa 2, la peine peut consister en une simple amende dans les cas de peu de gravité.</w:t>
      </w:r>
    </w:p>
    <w:p>
      <w:r>
        <w:rPr>
          <w:b/>
        </w:rPr>
        <w:t>E. 3.2</w:t>
      </w:r>
    </w:p>
    <w:p>
      <w:r>
        <w:t>Il ressort des faits retenus à l’encontre de M.________ qu’il a séjourné et travaillé en Suisse alors qu’il n’était titulaire d’aucune autorisation de séjour valable entre le 28 septembre 2012, lendemain du rejet définitif de sa demande d’asile, et le 26 février 2013. Ainsi, conformément aux allégations de l’appelante, il existe une contradiction à admettre une facilitation du séjour illicite de M.________ avant que ce dernier n’ait obtenu une réponse définitive sur sa demande d’asile. On doit par conséquent admettre que la durée de l’infraction est moindre, celle-ci s’étant, en définitive, déroulée du 28 septembre 2012 au 26 février 2013. L’admission de ce grief n’a toutefois aucune incidence quant à la qualification de l’infraction ou à la quotité de la peine, étant relevé que l’intéressée ne s’est pas vue infligée d’amende pour ce motif.</w:t>
      </w:r>
    </w:p>
    <w:p>
      <w:r>
        <w:rPr>
          <w:b/>
        </w:rPr>
        <w:t>E. 4</w:t>
      </w:r>
    </w:p>
    <w:p>
      <w:r>
        <w:t>L’appelante conteste sa condamnation pour complicité d’infraction grave à la LStup et blanchiment d’argent. Elle remet en cause les indices retenus à sa charge et soutient que l’instruction ne permet pas de démontrer qu’elle connaissait l’activité illicite de M.________ et qu’elle a participé au trafic de ce dernier.</w:t>
      </w:r>
    </w:p>
    <w:p>
      <w:r>
        <w:rPr>
          <w:b/>
        </w:rPr>
        <w:t>E. 4.1.1</w:t>
      </w:r>
    </w:p>
    <w:p>
      <w:r>
        <w:t>L’art. 19 ch. 1 LStup prévoit qu’est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En matière d'infractions à l'art. 19 LStup, dès que le prévenu accomplit l'un des actes visés par cette disposition, il est l'auteur de l'infraction, une participation à un autre titre, telle une complicité, n'entrant pas en ligne de compte (ATF 133 IV 187 c. 3.2 ; TF 6B_500/2014 du 29 décembre 2014 c. 1.1). Aux termes de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4.1.2</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 il suffit qu’elle accroisse les chances de succès de l’acte principal (ATF 132 IV 49 c. 1.1). L’assistance prêtée par le complice peut être matérielle, intellectuelle ou consister en une simple abstention. La complicité par omission suppose toutefois une obligation juridique d’agir, autrement dit une position de garant (TF 6B_591/2013 du 22 octobre 2014 c.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et TF 6B_700/2012 du 8 mars 2013 c. 7.1 et les références citées).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 5.1.2).</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4.3</w:t>
      </w:r>
    </w:p>
    <w:p>
      <w:r>
        <w:t>La version de l’appelante selon laquelle elle n’était pas au courant du trafic de M.________ et n’y a pas participé activement n’est absolument pas crédible au regard des éléments suivants.</w:t>
      </w:r>
    </w:p>
    <w:p>
      <w:r>
        <w:rPr>
          <w:b/>
        </w:rPr>
        <w:t>E. 4.3.1</w:t>
      </w:r>
    </w:p>
    <w:p>
      <w:r>
        <w:t>L’appelante et M.________ ont logé ensemble pendant plusieurs mois en Italie et à Genève. Ils se sont mariés traditionnellement et se vouaient des sentiments amoureux réciproques.</w:t>
      </w:r>
    </w:p>
    <w:p>
      <w:r>
        <w:rPr>
          <w:b/>
        </w:rPr>
        <w:t>E. 4.3.2</w:t>
      </w:r>
    </w:p>
    <w:p>
      <w:r>
        <w:t>Les deux prévenus se trouvaient ensemble lors de leur arrestation mouvementée (P. 39 et 66). En effet, en voyant les sirènes de la voiture de police, M.________, qui était au volant d’un des véhicules de l’appelante, a tenté de prendre la fuite. Lors de la course poursuite, les agents ont constaté qu’un des occupants du véhicule se débarrassait, par la fenêtre, d’un paquet en papier journal, qui contenait 155 grammes d’héroïne, conditionnés en sachets mini grips de 5 grammes. Lors de la fouille, deux téléphones portables, cinq cartes SIM et quatre cartes bancaires ont notamment été retrouvés sur l’appelante. Un des téléphones contenait plusieurs numéros appartenant à des personnes connues pour des infractions à la LStup.</w:t>
      </w:r>
    </w:p>
    <w:p>
      <w:r>
        <w:rPr>
          <w:b/>
        </w:rPr>
        <w:t>E. 4.3.3</w:t>
      </w:r>
    </w:p>
    <w:p>
      <w:r>
        <w:t>Des traces de drogue ont été retrouvées sur l’appelante lors de son arrestation (P. 39 et 66). Un test drugwipe ne peut se révéler positif aux opiacés à la seule condition que la personne soit entrée en contact avec la drogue, de sorte qu’un transfert inopiné, comme le soutient l’appelante, est exclu.</w:t>
      </w:r>
    </w:p>
    <w:p>
      <w:r>
        <w:rPr>
          <w:b/>
        </w:rPr>
        <w:t>E. 4.3.4</w:t>
      </w:r>
    </w:p>
    <w:p>
      <w:r>
        <w:t>L’appelante a mis son appartement à disposition de M.________. La perquisition effectuée le 26 février 2013 a permis de découvrir dans ce logement de trois pièces et demi, des balances, des produits de coupage par kilos – trouvés dans l’armoire de la chambre des prévenus – ainsi que de nombreux téléphones portables. Une balance a également été découverte dans le second véhicule de l’appelante (P. 39 et 66).</w:t>
      </w:r>
    </w:p>
    <w:p>
      <w:r>
        <w:rPr>
          <w:b/>
        </w:rPr>
        <w:t>E. 4.3.5</w:t>
      </w:r>
    </w:p>
    <w:p>
      <w:r>
        <w:t>Les contrôles téléphoniques ont démontré que le portable de l’appelante était toujours localisé près de celui de M.________, en particulier à la Place [...] à Lausanne, alors que les intéressés étaient domiciliés à Genève. Par ailleurs, l’appelante a mis ses véhicules à disposition de M.________ afin qu’il effectue son trafic. Les explications de l’appelante selon lesquelles elle se rendait, elle, à Lausanne pour faire des courses ne sont pas crédibles au regard des autres éléments à charge, d’autant plus que les contrôles téléphoniques ont permis de les situer à cet endroit à 112 reprises.</w:t>
      </w:r>
    </w:p>
    <w:p>
      <w:r>
        <w:rPr>
          <w:b/>
        </w:rPr>
        <w:t>E. 4.3.6</w:t>
      </w:r>
    </w:p>
    <w:p>
      <w:r>
        <w:t>L’appelante a profité de son travail en tant qu’opératrice chez [...] pour conclure plusieurs abonnements de téléphonie mobile sous de fausses identités. Elle a ensuite remis plusieurs téléphones portables à M.________ afin qu’il puisse contacter ses fournisseurs et acheteurs.</w:t>
      </w:r>
    </w:p>
    <w:p>
      <w:r>
        <w:rPr>
          <w:b/>
        </w:rPr>
        <w:t>E. 4.3.7</w:t>
      </w:r>
    </w:p>
    <w:p>
      <w:r>
        <w:t>L’appelante a également mis ses comptes bancaires à disposition de M.________. Son CPP a été utilisé pour de multiples dépôts et retraits de sommes d’argent. De plus, l’appelante a envoyé des sommes d’argent non négligeables en Tunisie et en Italie (P. 131/1, p. 12).</w:t>
      </w:r>
    </w:p>
    <w:p>
      <w:r>
        <w:rPr>
          <w:b/>
        </w:rPr>
        <w:t>E. 4.3.8</w:t>
      </w:r>
    </w:p>
    <w:p>
      <w:r>
        <w:t>L’appelante a été mise en cause par plusieurs personnes. H.________, entendu comme prévenu, a expliqué que M.________ et sa femme faisaient entrer la drogue depuis l’Italie (PV aud. 1, p. 3). L’appelante a d’ailleurs admis qu’elle s’était rendue à plusieurs reprises en Italie (PV aud. 17, p. 5 ; PV aud. 19, p. 2). Le témoin Z.________ a quant à lui expliqué que M.________ travaillait avec une femme (PV aud. 26).</w:t>
      </w:r>
    </w:p>
    <w:p>
      <w:r>
        <w:rPr>
          <w:b/>
        </w:rPr>
        <w:t>E. 4.3.9</w:t>
      </w:r>
    </w:p>
    <w:p>
      <w:r>
        <w:t>Sur le vu de l’ensemble des éléments qui précèdent, il ne fait aucun doute que l’appelante connaissait l’activité illicite de son acolyte et qu’elle y a activement participé. Le fait que seule la complicité s’agissant de l’infraction à la LStup ait été retenue à son encontre lui est extrêmement favorable au regard de l’ensemble des indices précités. W.________ s’est ainsi rendue coupable de complicité d’infraction grave LStup et de blanchiment d’argent.</w:t>
      </w:r>
    </w:p>
    <w:p>
      <w:r>
        <w:rPr>
          <w:b/>
        </w:rPr>
        <w:t>E. 5</w:t>
      </w:r>
    </w:p>
    <w:p>
      <w:r>
        <w:t>L’appelante conteste la peine qui lui a été infligée. Elle soutient que celle-ci est disproportionnée pour un cas de complicité notamment au regard de la peine privative de liberté de 3 ans et demi infligée à son coaccusé.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Dans le cadre de la fixation de la peine, l’appelant peut faire valoir une inégalité de traitement. Compte tenu toutefois des nombreux paramètres qui interviennent dans la fixation de la peine, une comparaison avec des affaires concernant d’autres accusés et des faits différents est d’emblée délicate (ATF 123 IV 49 c. 2e).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 3.2 ; ATF 121 IV 202 c. 2d).</w:t>
      </w:r>
    </w:p>
    <w:p>
      <w:r>
        <w:rPr>
          <w:b/>
        </w:rPr>
        <w:t>E. 5.2</w:t>
      </w:r>
    </w:p>
    <w:p>
      <w:r>
        <w:t>En l’espèce, la culpabilité de W.________ est lourde. A charge, on retiendra sa participation au trafic de drogue de grande ampleur de M.________ par appât du gain, ses dénégations et son absence de prise de conscience. A décharge, il sera tenu compte des conditions de vie difficiles de l’appelante qui s’occupe seule de son enfant en bas âge atteint dans sa santé. La sanction de deux ans est adéquate au regard de la culpabilité de l’intéressée. De plus, elle est bien inférieure à la peine de trois ans et demi infligée à l’auteur principal du trafic de stupéfiants, de sorte qu’on ne discerne pas de violation du principe d’égalité de traitement. Au vu des éléments qui précédent, de la culpabilité de l’appelante et de sa situation personnelle, la peine privative de liberté de 2 ans prononcée par les premiers juges est adéquate et doit être confirmée.</w:t>
      </w:r>
    </w:p>
    <w:p>
      <w:r>
        <w:rPr>
          <w:b/>
        </w:rPr>
        <w:t>E. 6</w:t>
      </w:r>
    </w:p>
    <w:p>
      <w:r>
        <w:t>L’appelante a conclu à la levée du séquestre sur certains objets ou valeurs. En l’occurrence, seuls l’Ipad et les trois cartes mémoires (chiffres 20 et 26 de la fiche de séquestre n° 56522) peuvent être restitués à l’appelante. Les autres objets ou valeurs séquestrés, soit des sommes d’argent, des téléphones portables et des cartes SIM, en lien avec le trafic de stupéfiants, ont été à juste titre confisqués et devront être détruits.</w:t>
      </w:r>
    </w:p>
    <w:p>
      <w:r>
        <w:rPr>
          <w:b/>
        </w:rPr>
        <w:t>E. 7</w:t>
      </w:r>
    </w:p>
    <w:p>
      <w:r>
        <w:t>En définitive, l'appel de W.________ doit être très partiellement admis et le jugement attaqué modifié dans le sens des considérants. Une indemnité au titre de l’art. 429 CPP ne peut être allouée vu le sort de la cause et les frais de défense pénale relevant d’une défense d’office n’étant au demeurant pas indemnisables. Vu l'issue de la cause, les frais d'appel doivent être mis par trois quarts à la charge de W.________ (art. 428 al. 1 CPP), le solde étant laissé à la charge de l’Etat. Outre l'émolument, qui se monte à 1’610 fr. (art. 21 al. 1 et 2 TFIP [Tarif des frais de procédure et indemnités en matière pénale du 28 septembre 2010; RSV 312.03.1]), ces frais comprennent l’indemnité allouée au défenseur d’office de W.________, par 1'360 fr. 80, TVA et débours inclus. W.________ ne sera tenue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