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325 vom 7. August 2015</w:t>
      </w:r>
    </w:p>
    <w:p>
      <w:r>
        <w:t>VD Tribunal cantonal, 2015-08-07, FR</w:t>
      </w:r>
    </w:p>
    <w:p>
      <w:r>
        <w:rPr>
          <w:b/>
        </w:rPr>
        <w:t xml:space="preserve">Quelle: </w:t>
      </w:r>
      <w:r>
        <w:t>https://mcp.opencaselaw.ch/entscheid/vd_findinfo_Jug___2015___325</w:t>
      </w:r>
    </w:p>
    <w:p>
      <w:r>
        <w:t>FR: VD_FINDINFO Jug / 2015 / 325 du 7 août 2015</w:t>
      </w:r>
    </w:p>
    <w:p>
      <w:r>
        <w:t>IT: VD_FINDINFO Jug / 2015 / 325 del 7 agosto 2015</w:t>
      </w:r>
    </w:p>
    <w:p>
      <w:pPr>
        <w:pStyle w:val="Heading2"/>
      </w:pPr>
      <w:r>
        <w:t>Regeste</w:t>
      </w:r>
    </w:p>
    <w:p>
      <w:r>
        <w:t>DÉCISION D'IRRECEVABILITÉ, RÉVISION{DÉCISION}, ORDONNANCE DE CONDAMNATION, PRÉFET | 410 al. 1 let. a CPP (CH), 412 al. 2 CPP (CH)</w:t>
      </w:r>
    </w:p>
    <w:p>
      <w:pPr>
        <w:pStyle w:val="Heading2"/>
      </w:pPr>
      <w:r>
        <w:t>Erwägungen</w:t>
      </w:r>
    </w:p>
    <w:p>
      <w:r>
        <w:rPr>
          <w:b/>
        </w:rPr>
        <w:t>E. 1</w:t>
      </w:r>
    </w:p>
    <w:p>
      <w:r>
        <w:t>Dans son courrier du 27 juillet 2015, D.________ indique qu’il s’agit d’un recours et se réfère à l’ordonnance pénale de conversion rendue par le Préfet le 20 juillet 2015, tout en contestant être l’auteur des infractions simples à la loi sur la circulation routière ayant donné lieu aux ordonnances pénales rendues les 25 juin et 24 septembre 2014 par le Préfet du Gros-de-Vaud et devoir payer les amendes auxquelles il a été condamné. La cour de céans se bornera donc à examiner si ce courrier peut être considéré comme une demande de révision rece­va­ble.</w:t>
      </w:r>
    </w:p>
    <w:p>
      <w:r>
        <w:rPr>
          <w:b/>
        </w:rPr>
        <w:t>E. 2</w:t>
      </w:r>
    </w:p>
    <w:p>
      <w:r>
        <w:t>e éd., Bâle 2014, n. 6 ad art. 411 CPP). L’art. 412 al. 2 CPP prescrit que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toutefois également possible de prononcer une décision de non-entrée en matière lorsque les motifs de révision invoqués apparaissent d'emblée non vraisemblables ou mal fondés (TF 6B_293/2013 du 19 juillet 2013 c. 3.3; TF 6B_415/2012 du 14 décembre 2012 c. 1.1 et les références citées).</w:t>
      </w:r>
    </w:p>
    <w:p>
      <w:r>
        <w:rPr>
          <w:b/>
        </w:rPr>
        <w:t>E. 2.1</w:t>
      </w:r>
    </w:p>
    <w:p>
      <w:r>
        <w:t>L'art. 410 al. 1 let. a CPP (Code de procédure pénale suisse du 5 octobre 2007, RS 312.0)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à l'art. 385 CP (Code pénal suisse du 21 décembre 1937, RS 311.0) selon laquelle les faits ou moyens de preuve invoqués doivent être nouveaux et sérieux (Message du Conseil fédéral du 21 décembre 2005 relatif à l'unification de la procédure pénale, FF 2006 II 1057 ss, spéc. 1303; TF 6B_310/2011 c. 1.2 et les références citées).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 5.1.2; ATF 130 IV 72 c. 1; TF 6B_310/2011 c. 1.2).</w:t>
      </w:r>
    </w:p>
    <w:p>
      <w:r>
        <w:rPr>
          <w:b/>
        </w:rPr>
        <w:t>E. 2.2</w:t>
      </w:r>
    </w:p>
    <w:p>
      <w:r>
        <w:t>Pour être valides en la forme, les demandes de révision doivent être motivées et adressées par écrit à la juridiction d’appel, les motifs de révision devant être exposés et justifiés dans la demande (art. 411 al. 1 CPP; Piquerez, Traité de procédure pénale suisse, 3 e éd., Genève/Zurich/Bâle 2011, n. 2092, p. 679; Heer, in : Niggli/Heer/Wiprächtiger [éd.], Basler Kommentar, Schweizerische Strafprozessord­nung, Jungenstrafprozessord­nung,</w:t>
      </w:r>
    </w:p>
    <w:p>
      <w:r>
        <w:rPr>
          <w:b/>
        </w:rPr>
        <w:t>E. 2.3</w:t>
      </w:r>
    </w:p>
    <w:p>
      <w:r>
        <w:t>Une demande de révision dirigée contre une ordonnance de condam­nation doit être qualifiée d’abusive si elle repose sur des faits que le condamné connaissait initialement, qu’il n’avait aucune raison légitime de taire et qu’il aurait pu révéler dans une procédure ordinaire mise en oeuvre par une simple opposition (ATF 130 IV 72 c. 2.3). En revanche, une révision peut entrer en considération à l’égard d’une ordonnance de condamnation pour des faits et des moyens de preuve importants que le condamné ne connaissait pas au moment du prononcé de l’ordonnance ou dont il ne pouvait pas se prévaloir ou n’avait pas de raison de se prévaloir à celle époque (ibidem). Cette jurisprudence, rendue avant l’entrée en vigueur du CPP, a été confirmée depuis lors (TF 6B_310/2011 du 20 juin 2011 c. 1.3 ; CAPE 18 juin 2013/157; CAPE 3 mai 2013/131).</w:t>
      </w:r>
    </w:p>
    <w:p>
      <w:r>
        <w:rPr>
          <w:b/>
        </w:rPr>
        <w:t>E. 3</w:t>
      </w:r>
    </w:p>
    <w:p>
      <w:r>
        <w:t>En définitive, la demande de révision présentée par D.________ est irrecevable (art. 412 al. 2 CPP). Les frais de la procédure de révision doivent être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