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324 vom 24. Juli 2015</w:t>
      </w:r>
    </w:p>
    <w:p>
      <w:r>
        <w:t>VD Tribunal cantonal, 2015-07-24, FR</w:t>
      </w:r>
    </w:p>
    <w:p>
      <w:r>
        <w:rPr>
          <w:b/>
        </w:rPr>
        <w:t xml:space="preserve">Quelle: </w:t>
      </w:r>
      <w:r>
        <w:t>https://mcp.opencaselaw.ch/entscheid/vd_findinfo_Jug___2015___324</w:t>
      </w:r>
    </w:p>
    <w:p>
      <w:r>
        <w:t>FR: VD_FINDINFO Jug / 2015 / 324 du 24 juillet 2015</w:t>
      </w:r>
    </w:p>
    <w:p>
      <w:r>
        <w:t>IT: VD_FINDINFO Jug / 2015 / 324 del 24 luglio 2015</w:t>
      </w:r>
    </w:p>
    <w:p>
      <w:pPr>
        <w:pStyle w:val="Heading2"/>
      </w:pPr>
      <w:r>
        <w:t>Regeste</w:t>
      </w:r>
    </w:p>
    <w:p>
      <w:r>
        <w:t>VOL{DROIT PÉNAL}, AFFILIATION À UNE BANDE, FIXATION DE LA PEINE | 139 ch. 3 CP, 47 CP</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E.________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6B_78/2012 du 27 août 2012 c. 3.1 et la doctrine citée).</w:t>
      </w:r>
    </w:p>
    <w:p>
      <w:r>
        <w:rPr>
          <w:b/>
        </w:rPr>
        <w:t>E. 3</w:t>
      </w:r>
    </w:p>
    <w:p>
      <w:r>
        <w:t>L’appelant conteste en premier lieu la réalisation de la circonstance aggravante de la bande pour l’infraction de vol. Il fait valoir qu’il n’a agi qu’avec un seul comparse, qu’ils n’ont commis ensemble que trois vols à l’improviste, sans organisation préalable, sans répartition des rôles et sans entente préalable sur le partage du butin. Pour le surplus, ils ne se connaissaient pas avant les faits et ne se sont côtoyés que pendant sept jours. Toujours selon l’appelant, il ne se serait ainsi pas associé avec son comparse.</w:t>
      </w:r>
    </w:p>
    <w:p>
      <w:r>
        <w:rPr>
          <w:b/>
        </w:rPr>
        <w:t>E. 3.1</w:t>
      </w:r>
    </w:p>
    <w:p>
      <w:r>
        <w:t>Aux termes de l’art. 139 ch. 3 CP, le vol est puni d’une peine privative de liberté de dix ans au plus ou d’une peine pécuniaire de 180 jours-amende au moins si son auteur l’a commis en qualité d’affilié à une bande formée pour commettre des brigandages ou des vols. Selon la jurisprudence,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 2 ; ATF 124 IV 286 c. 2a, 86 c. 2b). Cette qualification suppose toutefois un minimum d’organisation (par exemple une répartition des tâches ou des rôles) et que la coopération des intéressés soit suffisamment intense pour que l’on puisse parler d’un groupe stable même s’il n’est qu’éphémère (ATF 132 IV 132 c. 5.2 et les références citées). Du point de vue subjectif, il suffit que l’auteur connaisse et veuille les circonstances de fait qui correspondent à la définition de la bande (ATF 124 IV 86, précité, c. 2b).</w:t>
      </w:r>
    </w:p>
    <w:p>
      <w:r>
        <w:rPr>
          <w:b/>
        </w:rPr>
        <w:t>E. 3.3</w:t>
      </w:r>
    </w:p>
    <w:p>
      <w:r>
        <w:t>En l’espèce, il ne fait aucun doute que l’appelant formait une bande avec le dénommé T.________. C’est en vain que l’appelant s’écarte de l’état de fait du jugement pour contester le minimum d’organisation en place dans la commission des infractions. Les premiers juges ont ainsi relevé que les comparses se déplaçaient ensemble pour se rendre sur les lieux des vols, qu’ils se répartissaient à parts égales le prix de vente des objets volés et qu’ils avaient agi à plusieurs reprises ensemble, démontrant ainsi une association certes éphémère, mais comportant un minimum d’organisation, de sorte à pouvoir la qualifier de bande. Cette appréciation est adéquate et doit être confirmée.</w:t>
      </w:r>
    </w:p>
    <w:p>
      <w:r>
        <w:rPr>
          <w:b/>
        </w:rPr>
        <w:t>E. 4</w:t>
      </w:r>
    </w:p>
    <w:p>
      <w:r>
        <w:t>L’appelant reproche également aux premiers juges de lui avoir infligé une peine disproportionnée par rapport à sa culpabilité. Ils n’auraient pas tenu compte suffisamment de sa bonne collaboration à l’enquête, de sa situation personnelle, en particulier familiale, et auraient accordé trop de poids à ses antécédents .</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 3.1 ; ATF 134 IV 17 c. 2.1 ; ATF 129 IV 6 c. 6.1 p. 20).</w:t>
      </w:r>
    </w:p>
    <w:p>
      <w:r>
        <w:rPr>
          <w:b/>
        </w:rPr>
        <w:t>E. 4.2</w:t>
      </w:r>
    </w:p>
    <w:p>
      <w:r>
        <w:t>Pour fixer la peine, le tribunal de première instance a retenu à charge les condamnations antérieures prononcées dans plusieurs pays européens pour des délits contre le patrimoine, l’appât du gain, le butin considérable, le concours d’infractions et a refusé de prendre en compte à décharge la collaboration de l’appelant à la détermination des faits délictueux, dès lors qu’il ne les a reconnus que lorsqu’il était de toute manière confondu par son ADN. Là encore, cette appréciation est adéquate. Entendu le 2 août 2014, le prévenu a commencé par nier toute infraction et, devant le procureur genevois, a refusé de s’exprimer (dossier joint B, P. 1 et 3). Ce n’est que confronté aux preuves techniques qu’il a reconnu certains cas de vols. Pour le reste, l’appelant est manifestement un voleur professionnel de longue date et n’entend pas changer de comportement, malgré de belles déclarations d’intention. Il avait déjà une famille lorsqu’il a commis des vols en ltalie, au Danemark et en Allemagne. C’est donc en vain qu’il prétend que sa situation personnelle ne l’exposerait pas à la récidive. Il faut au contraire constater que l’appelant paraît malheureusement ancré dans la délinquance et c’est donc à juste titre que les premiers juges ont prononcé une peine sévère pour des motifs de prévention spéciale. La sanction doit en conséquence être confirmée.</w:t>
      </w:r>
    </w:p>
    <w:p>
      <w:r>
        <w:rPr>
          <w:b/>
        </w:rPr>
        <w:t>E. 5</w:t>
      </w:r>
    </w:p>
    <w:p>
      <w:r>
        <w:t>En définitive, l’appel doit être rejeté et le jugement entrepris confirmé.</w:t>
      </w:r>
    </w:p>
    <w:p>
      <w:r>
        <w:rPr>
          <w:b/>
        </w:rPr>
        <w:t>E. 5.1</w:t>
      </w:r>
    </w:p>
    <w:p>
      <w:r>
        <w:t>L'indemnité de défenseur d'office allouée à Me Angelo Ruggiero pour la procédure d'appel sera fixée à 2'118 fr. 95, TVA compris, correspondant à 10 heures d’activité à 180 fr., une vacation à 120 fr. et 42 fr. de débours.</w:t>
      </w:r>
    </w:p>
    <w:p>
      <w:r>
        <w:rPr>
          <w:b/>
        </w:rPr>
        <w:t>E. 5.2</w:t>
      </w:r>
    </w:p>
    <w:p>
      <w:r>
        <w:t>Vu l’issue de la cause, les frais d’appel, constitués de l’émolument de jugement, par 1'390 fr., ainsi que de l’indemnité allouée au défenseur d'office de E.________, par 2'118 fr. 95, sont mis à la charge de ce dernier (art. 428 al. 1 CPP). E.________ ne sera tenu de rembourser à l’Etat le montant de l’indemnité d'office précitée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