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310 vom 5. Mai 2014</w:t>
      </w:r>
    </w:p>
    <w:p>
      <w:r>
        <w:t>VD Tribunal cantonal, 2014-05-05, FR</w:t>
      </w:r>
    </w:p>
    <w:p>
      <w:r>
        <w:rPr>
          <w:b/>
        </w:rPr>
        <w:t xml:space="preserve">Quelle: </w:t>
      </w:r>
      <w:r>
        <w:t>https://mcp.opencaselaw.ch/entscheid/vd_findinfo_Jug___2015___310</w:t>
      </w:r>
    </w:p>
    <w:p>
      <w:r>
        <w:t>FR: VD_FINDINFO Jug / 2015 / 310 du 5 mai 2014</w:t>
      </w:r>
    </w:p>
    <w:p>
      <w:r>
        <w:t>IT: VD_FINDINFO Jug / 2015 / 310 del 5 maggio 2014</w:t>
      </w:r>
    </w:p>
    <w:p>
      <w:pPr>
        <w:pStyle w:val="Heading2"/>
      </w:pPr>
      <w:r>
        <w:t>Regeste</w:t>
      </w:r>
    </w:p>
    <w:p>
      <w:r>
        <w:t>DEMANDE ADRESSÉE À L'AUTORITÉ, RÉVISION{DÉCISION}, DÉCISION D'IRRECEVABILITÉ, DÉFENSE D'OFFICE | 135 CPP (CH), 410 al. 1 let. a CPP (CH), 428 al. 1 CPP (CH)</w:t>
      </w:r>
    </w:p>
    <w:p>
      <w:pPr>
        <w:pStyle w:val="Heading2"/>
      </w:pPr>
      <w:r>
        <w:t>Erwägungen</w:t>
      </w:r>
    </w:p>
    <w:p>
      <w:r>
        <w:rPr>
          <w:b/>
        </w:rPr>
        <w:t>E. 1.1</w:t>
      </w:r>
    </w:p>
    <w:p>
      <w:r>
        <w:t>L'art. 410 al. 1 let. a CPP (Code de procédure pénale suisse du 5 octobre 2007, RS 312.0)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La révision est en principe ouverte lorsqu’il n’y a plus de recours ordinaire contre la décision querellée. Le dépôt, comme en l’espèce, d’une demande de révision contre un jugement de la Cour d’appel pénale alors que la cause est toujours pendante devant le Tribunal fédéral ensuite d’un recours en matière pénale est toutefois admissible, le Tribunal fédéral devant alors suspendre la procédure fédérale jusqu’à droit connu sur l’issue de la procédure de révision cantonale (Moreillon/Parein-Reymond, Petit commentaire du Code de procédure pénale, Bâle 2013, nn. 5 et 6 ad art. 410 ; Fingerhuth, in : Donatsch/ Hansjakob/Lieber [éd.], Kommentar zur Schweizerischen Strafprozes­sordnung,</w:t>
      </w:r>
    </w:p>
    <w:p>
      <w:r>
        <w:rPr>
          <w:b/>
        </w:rPr>
        <w:t>E. 1.2</w:t>
      </w:r>
    </w:p>
    <w:p>
      <w:r>
        <w:t>L'art. 410 al. 1 let. a CPP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1.3</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 Genève/Zurich/Bâle 2011, n. 2092, p. 679; Heer, in : Niggli/Heer/Wiprächtiger [éd.], Basler Kommentar, Schweizerische Strafprozessord­nung, Jungenstrafprozessord­nung,</w:t>
      </w:r>
    </w:p>
    <w:p>
      <w:r>
        <w:rPr>
          <w:b/>
        </w:rPr>
        <w:t>E. 2</w:t>
      </w:r>
    </w:p>
    <w:p>
      <w:r>
        <w:t>En l’espèce, le requérant produit une lettre dactylographiée datée du 23 juin 2015 et signée le 5 juillet 2015 par la victime Y.________ à côté de la mention manuscrite « J’ai lu es (sic) j’ai compris ». Le requérant fait valoir que l’état de fait a changé de manière signifi­cative depuis que la Cour d’appel péna­le a rendu sa décision le 30 septembre 2014, Y.________ ayant admis librement dans ce courrier qu’elle n’avait pas dit toute la vérité aux autorités quant aux faits qui s’étaient produits entre elle et le requérant. Le moyen de preuve offert par le requérant n’est toutefois pas sérieux. Tout laisse penser que la rétractation de Y.________ est suspecte et qu’elle est le résultat d’une manœuvre destinée à disculper le requérant. En effet, la lettre produite n’a manifestement pas été écrite par Y.________, les termes employés dans ce courrier n’étant clairement pas ceux d’une jeune fille âgée d’à peine un peu plus de 16 ans. En outre, la cour de céans ignore tout des circonstances dans lesquelles cette correspondance datée du 23 juin 2015 et signée le 5 juillet suivant par la victime prénommée a été écrite ; au demeurant, une enquête pénale a été ouverte le 6 août 2015 à l’encontre de P.________ par le Ministère public du canton de Fribourg pour des actes d’ordre sexuel qui auraient été commis au détriment de Y.________ en juillet et août 2015, soit justement au moment où cette lettre a été écrite. Dans ces conditions, le requérant ne soulève aucun fait ou moyen de preuve sérieux susceptible d’avoir une influence sur le jugement dont la révision est demandée et de motiver son éventuel acquittement ou une condamnation sensible­ment moins sévère (art. 410 al. 1 let. a CPP).</w:t>
      </w:r>
    </w:p>
    <w:p>
      <w:r>
        <w:rPr>
          <w:b/>
        </w:rPr>
        <w:t>E. 3</w:t>
      </w:r>
    </w:p>
    <w:p>
      <w:r>
        <w:t>En définitive, la demande de révision présentée par P.________ est irrecevable (art. 412 al. 2 CPP). Le défenseur d’office du requérant a droit à une indemnité qu’il convient d’arrêter à 360 fr., montant correspondant à 2 heures d’activité au tarif horaire de 180 francs, TVA et débours compris. Vu l’issue de la cause, les frais de la procédure de révision  comprenant l’émolument de jugement, par 660 fr. (art. 21 TFIP [Tarif des frais de procédure et indemnités en matière pénale du 28 septembre 2010 ; RSV 312.03.1], par renvoi de l’art. 22 TFIP), et l’indemnité allouée au défenseur d’office du requérant, par 360 fr., TVA et débours compris, doivent être mis à la charge de P.________ (art. 422 et 428 al. 1 CPP ; art. 2 al. 2 ch. 1 TFIP). Ce dernier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