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302 vom 18. August 2015</w:t>
      </w:r>
    </w:p>
    <w:p>
      <w:r>
        <w:t>VD Tribunal cantonal, 2015-08-18, FR</w:t>
      </w:r>
    </w:p>
    <w:p>
      <w:r>
        <w:rPr>
          <w:b/>
        </w:rPr>
        <w:t xml:space="preserve">Quelle: </w:t>
      </w:r>
      <w:r>
        <w:t>https://mcp.opencaselaw.ch/entscheid/vd_findinfo_Jug___2015___302</w:t>
      </w:r>
    </w:p>
    <w:p>
      <w:r>
        <w:t>FR: VD_FINDINFO Jug / 2015 / 302 du 18 août 2015</w:t>
      </w:r>
    </w:p>
    <w:p>
      <w:r>
        <w:t>IT: VD_FINDINFO Jug / 2015 / 302 del 18 agosto 2015</w:t>
      </w:r>
    </w:p>
    <w:p>
      <w:pPr>
        <w:pStyle w:val="Heading2"/>
      </w:pPr>
      <w:r>
        <w:t>Regeste</w:t>
      </w:r>
    </w:p>
    <w:p>
      <w:r>
        <w:t>DÉTENTION PROVISOIRE | 221 al. 1 let. c CPP (CH), 221 CPP (CH), 237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les soupçons pesant sur M.________ constatés dans le dernier arrêt de la cour de céans du 17 juin 2015 persistent et se sont mêmes renforcés au vu du contenu du rapport de synthèse de la police de sûreté, brigade financière, du 4 juin 2015 (P. 245) et de son complément du 14 juillet 2015 (P. 282). Compte tenu des éléments au dossier, il existe toujours une présomption suffisamment sérieuse de culpabilité à l’encontre du prévenu, ce que celui-ci ne remet d'ailleurs pas en cause.</w:t>
      </w:r>
    </w:p>
    <w:p>
      <w:r>
        <w:rPr>
          <w:b/>
        </w:rPr>
        <w:t>E. 3.1</w:t>
      </w:r>
    </w:p>
    <w:p>
      <w:r>
        <w:t>Le recourant conteste en revanche le risque de récidive.</w:t>
      </w:r>
    </w:p>
    <w:p>
      <w:r>
        <w:rPr>
          <w:b/>
        </w:rPr>
        <w:t>E. 3.2</w:t>
      </w:r>
    </w:p>
    <w:p>
      <w:r>
        <w:t>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 le maintien en détention ne peut se justifier pour ce motif que si le pronostic est très défavorable et si les délits dont l'autorité redoute la réitération sont graves. La jurisprudence se montre moins sévère dans l'exigence de vraisemblance lorsqu'il s'agit de délits de violence graves, car le risque à faire courir aux victimes potentielles est alors considéré comme trop important; en pareil cas, il convient de tenir compte de l'état psychique du prévenu, de son imprévisibilité ou de son agressivité.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Le risque de réitération peut également se fonder sur les infractions faisant l'objet de la procédure pénale en cours, si le prévenu est fortement soupçonné – avec une probabilité confinant à la certitude – de les avoir commises. On peut aussi retenir un risque de récidive lorsqu'il s'agit, conformément au principe de la célérité, d'éviter que la procédure ne soit sans cesse compliquée ou prolongée par la commission de nouveaux délits (TF 1B_201/2014 du 19 juin 2014, c. 3. 1 et les références citées).</w:t>
      </w:r>
    </w:p>
    <w:p>
      <w:r>
        <w:rPr>
          <w:b/>
        </w:rPr>
        <w:t>E. 3.3</w:t>
      </w:r>
    </w:p>
    <w:p>
      <w:r>
        <w:t>En l'espèce, le prévenu a poursuivi son activité délictueuse malgré la mise en garde formelle du procureur lors de son arrestation. Il n'a pris l'engagement de cesser ses agissements que lorsqu'il a su qu'il allait être mis en détention provisoire. Il a revendiqué son activité (PV aud. 16, lignes 60-61). Il a par la suite écrit à ses proches qu'il était respecté en prison car il était "juriste" (P. 189), qu'il aidait ses co-détenus dans leurs affaires juridiques et qu'il aimait "pratiquer" (P. 148). Dans un autre courrier, il a indiqué que des gens étaient jaloux de sa réussite et essayaient de le casser, mais qu'ils n'y arriveraient pas parce qu'il était le meilleur (P. 189). Le prévenu ne parvient par ailleurs pas à respecter les règles en vigueur, comme le montre son attitude en prison où il a tenté de faire passer des courriers au nom de son co-détenu et (P. 212). A cela s'ajoute que l'intéressé a tenté de tromper le Ministère public, en lui indiquant par écrit, les 4 et 12 juin 2015, avoir désactivé son site Internet, alors que tel n'était pas encore le cas (P. 245; Procès-verbal des opérations du 21 juillet 2015). Il résulte de tous ces éléments que le recourant n'a pas réellement l'intention de cesser ses agissements; on peut craindre que le prévenu persiste dans son activité délictueuse, par appât du gain, voire pour améliorer son quotidien puisqu'il est au RI (P. 2 de son bordereau). Le risque de récidive est donc concret.</w:t>
      </w:r>
    </w:p>
    <w:p>
      <w:r>
        <w:rPr>
          <w:b/>
        </w:rPr>
        <w:t>E. 3.4</w:t>
      </w:r>
    </w:p>
    <w:p>
      <w:r>
        <w:t>L’existence d'un risque de récidive – dont l'étendue sera encore précisée par l'expertise psychiatrique en cours – suffit à justifier le maintien de M.________ en détention provisoire (art. 221 al.1 let. c CPP) et dispense l'autorité de céans d’examiner si cette détention s’impose toujours en raison du risque de collusion.</w:t>
      </w:r>
    </w:p>
    <w:p>
      <w:r>
        <w:rPr>
          <w:b/>
        </w:rPr>
        <w:t>E. 4.1</w:t>
      </w:r>
    </w:p>
    <w:p>
      <w:r>
        <w:t>Le recourant invoque une violation du principe de la proportionnalité (art. 212 al. 3 CPP).</w:t>
      </w:r>
    </w:p>
    <w:p>
      <w:r>
        <w:rPr>
          <w:b/>
        </w:rPr>
        <w:t>E. 4.2</w:t>
      </w:r>
    </w:p>
    <w:p>
      <w:r>
        <w:t>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4.3</w:t>
      </w:r>
    </w:p>
    <w:p>
      <w:r>
        <w:t>En l’espèce, M.________ est détenu depuis le 29 janvier 2015. Compte tenu de la gravité des actes qui lui sont reprochés, le recourant s'expose à une peine privative de liberté d’une durée manifestement supérieure à celle de la détention provisoire subie à ce jour. Au vu de ces éléments, le principe de la proportionnalité de la détention provisoire demeure respecté.</w:t>
      </w:r>
    </w:p>
    <w:p>
      <w:r>
        <w:rPr>
          <w:b/>
        </w:rPr>
        <w:t>E. 5</w:t>
      </w:r>
    </w:p>
    <w:p>
      <w:r>
        <w:t>Au vu notamment de la personnalité de l'intéressé, qui peine à se soumettre aux règles même quand il est en détention (cf. supra c. 3. 3), la mesure de substitution proposée – consistant à se voir interdire l'exercice de toute activité de conseil juridique jusqu'à droit connu dans la présente cause, sous menace de la peine d'amende prévue à l'art. 292 CP – n'est pas de nature à prévenir efficacement le risque de récidive retenu. Le maintien de M.________en détention provisoire est donc justifié (art. 237 al. 1 CPP).</w:t>
      </w:r>
    </w:p>
    <w:p>
      <w:r>
        <w:rPr>
          <w:b/>
        </w:rPr>
        <w:t>E. 6</w:t>
      </w:r>
    </w:p>
    <w:p>
      <w:r>
        <w:t>Il résulte de ce qui précède que le recours, manifestement mal fondé, doit être rejeté sans autres échanges d’écritures (art. 390 al. 2 CPP). Les frais de la procédure de recours, constitués en l’espèce du seul émolument d'arrêt (art. 422 al. 1 CPP), par 880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28 juillet 2015 est confirmée. III. Les frais d’arrêt, par 880 fr. (huit cent huitante francs), sont mis à la charge de M.________. IV. Le présent arrêt est exécutoire. Le président :               La greffière : Du Le présent arrêt, dont la rédaction a été approuvée à huis clos, est notifié, par l'envoi d'une copie complète, à : - M. Matthieu Genillod, avocat (pour M.________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