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30 vom 20. März 2015</w:t>
      </w:r>
    </w:p>
    <w:p>
      <w:r>
        <w:t>VD Tribunal cantonal, 2015-03-20, FR</w:t>
      </w:r>
    </w:p>
    <w:p>
      <w:r>
        <w:rPr>
          <w:b/>
        </w:rPr>
        <w:t xml:space="preserve">Quelle: </w:t>
      </w:r>
      <w:r>
        <w:t>https://mcp.opencaselaw.ch/entscheid/vd_findinfo_Jug___2015___30</w:t>
      </w:r>
    </w:p>
    <w:p>
      <w:r>
        <w:t>FR: VD_FINDINFO Jug / 2015 / 30 du 20 mars 2015</w:t>
      </w:r>
    </w:p>
    <w:p>
      <w:r>
        <w:t>IT: VD_FINDINFO Jug / 2015 / 30 del 20 marzo 2015</w:t>
      </w:r>
    </w:p>
    <w:p>
      <w:pPr>
        <w:pStyle w:val="Heading2"/>
      </w:pPr>
      <w:r>
        <w:t>Regeste</w:t>
      </w:r>
    </w:p>
    <w:p>
      <w:r>
        <w:t>CONTRAT DE TRANSPORT, FARDEAU DE LA PREUVE, PRINCIPE DE LA CONFIANCE{INTERPRÉTATION DU CONTRAT}, CLAUSULA REBUS SIC STANTIBUS | 8 CC, 18 CO, 404 CO</w:t>
      </w:r>
    </w:p>
    <w:p>
      <w:pPr>
        <w:pStyle w:val="Heading2"/>
      </w:pPr>
      <w:r>
        <w:t>Erwägungen</w:t>
      </w:r>
    </w:p>
    <w:p>
      <w:r>
        <w:rPr>
          <w:b/>
        </w:rPr>
        <w:t>E. 2</w:t>
      </w:r>
    </w:p>
    <w:p>
      <w:r>
        <w:t>al. 1 CO). A défaut d’un tel accord, et quand bien même les parties ne divergeraient que sur le contenu ou l’interprétation du contrat, et non sur son existence, celui-ci n’est pas conclu (Gauch/Schluep/Schmid, Schweizerisches Obligationenrecht, Allgemeiner Teil, 9 e éd., n. 1274). Si les parties réservent l'un ou l'autre point essentiel à un accord ultérieur, le contrat ne viendra à chef qu'à ce moment-là (ATF 127 III 248 c. 3e ; Morin, Commentaire romand, Code des obligations I, 2 e éd. [ci-après : CR-CO I], nn. 1 ss ad art. 2). S’il apparaît que les parties ont effectivement conclu un contrat, il peut être nécessaire de le qualifier. Une telle opération n’a toutefois de sens que si l’application d’une norme impérative est en jeu ou si, la convention des parties étant incomplète, il faut rechercher une disposition supplétive (SJ 2003 I 313 c. 2.2 ; Corboz, La réception du contrat par le juge : la qualification, l’interprétation et le complètement, in Bellanger et al. (éd.), Le contrat dans tous ses états, 2004, p. 270). A cet égard, l’art. 18 al. 1 CO dispose que le juge doit rechercher la réelle et commune intention des parties, sans s’arrêter aux expressions ou dénominations inexactes dont elles ont pu se servir, soit par erreur, soit pour déguiser la nature véritable de la convention. Il s’ensuit que le juge n’est pas lié par la dénomination du contrat, ni par la qualification – même concordante – retenue par les parties, mais détermine librement la nature de la convention d'après l'aménagement objectif de la relation contractuelle (TF 4A_602/2013 du 27 mars 2014 c. 3.1 ; TF 4A_194/2011 du 5 juillet 2011 c. 5.3, rés. in JT 2012 II 198 ; ATF 131 III 217 c. 3, SJ 2005 I p. 437 ; ATF 129 III 664 c. 3.1, rés. in JT 2004 I 60). ATF 84 II 493 c. 2, JT 1959 I 156). La qualification juridique d'un contrat est en effet une question de droit (ATF 131 III 217 c. 3) ; en revanche, déterminer ce que les parties veulent au moment de conclure relève des constatations de fait (ATF 118 II 58 c. 3a et les arrêts cités, rés. in JT 1993 I 54 ; TF 3C.384/2004 du 6 janvier 2005 c. 3.1). b) L’art. 440 CO définit le contrat de transport comme un type particulier de mandat (cf. art. 440 al. 2 CO), dans lequel un voiturier s’engage à effectuer le transport de choses moyennant rémunération. Ces deux éléments sont les seuls points objectivement essentiels du contrat (ATF 109 II 231, rés. JT 1984 I 156 ; Tercier/Favre, Les contrats spéciaux, 4 e éd., nn. 6345 ss ; Engel, Contrats de droit suisse, 2 e éd., p. 588). Seul le principe de la rémunération, au minimum, doit donc avoir fait l’objet d’un accord entre les parties. Si le montant dû au voiturier n’est pas fixé par la convention, on applique les tarifs usuels. En l'absence d'une convention et d'un usage, le juge doit déterminer la rémunération due selon des principes généraux, en calculant des honoraires objectivement équitables (ATF 120 V 515 c. 4b/bb ; Tercier/Favre, op. cit., nn. 5261 et 6389). Le contrat est conclu dès que le voiturier s’est engagé à exécuter son obligation et qu’une rémunération est prévue. Il s’agit d’un contrat consensuel, et non d’un contrat réel qui ne serait conclu que par la remise de la chose (Tercier/Favre, op. cit., n. 6365). En outre, et sauf si les parties en ont disposé autrement (art. 16 CO), la conclusion du contrat de transport n’est soumise au respect d’aucune forme particulière (art. 11 CO ; Tercier/Favre, op. cit., n. 6366). Enfin, dans la mesure où l’art. 404 al. 1 CO lui est applicable (en vertu du renvoi de l’art. 440 al. 2 CO), le contrat de transport peut être révoqué ou répudié en tout temps (ATF 115 II 108 c. 4c ; ATF 109 II 231 c. 3c/aa ; Tercier/Favre, op. cit., n. 6440), à condition de verser à l’autre partie une indemnité au cas où la révocation, respectivement la répudiation, interviendrait en temps inopportun et lui causerait ainsi un dommage (art. 404 al. 2 CO). Le dommage correspond aux pertes que celle-ci a subies en se fiant aux promesses de son cocontractant, soit les frais engagés en vue de l’exécution du mandat et qui perdent leur utilité en raison de la fin du contrat. (TF 4C.78/2007 du 9 janvier 2008 c. 5.4 ; ATF 110 II 380 c. 4b, JT 1985 I 274 ; Tercier/Favre, op. cit., n. 5308 ; Werro, CR-CO I, n. 11 ad art. 404 CO). Pour le mandant, il s’agira aussi des dépenses nouvelles et inattendues qu’il doit engager pour trouver un nouveau mandataire (Tercier/Favre, ibid . ; Werro, ibid .) Malgré les critiques de la doctrine désormais majoritaire (cf. Werro, op. cit., nn. 8 et 16 ad art. 404 CO ; Tercier/Favre, op. cit., n. 5294, et les auteurs cités), le Tribunal fédéral considère que l’art. 404 al. 2 CO est de nature impérative et que toute limitation du droit de mettre fin au contrat est de ce fait nulle (TF 4A_213/2008 du 29 juillet 2008 c. 5 ; TF 4A_237/2008 du 29 juillet 2008 c. 3.4 ; TF 4C.447/2004 du 31 mars 2005 c. 5.4 ; ATF 117 II 466 c. 5d, JT 1992 I 387 ; ATF 115 Il 464 c. 2a, JT 1990 I 312). Il s’ensuit que le contrat de mandat – et donc le contrat de transport, qui relève du même régime – ne peut pas être conclu pour une durée déterminée, ni pour une durée minimale (Werro, op. cit., n. 18 ad art. 404 CO). c) En l’espèce, les parties allèguent toutes deux avoir conclu un contrat de transport, selon l’intitulé du document qu’elles ont signé en date des 5 et 8 janvier 2007. Elles se sont en effet accordées sur le fait que la demanderesse devait transporter des produits pétroliers pour le compte de la défenderesse en contrepartie d’une rémunération, ce qui correspond aux éléments objectivement essentiels du contrat de transport. Elles ne se sont pas engagées sur une livraison déterminée, mais ont convenu que la défenderesse communique à la demanderesse un programme journalier des livraisons à effectuer (§ 1 du contrat), ce qui ne change cependant rien à la qualification du contrat. La demanderesse allègue qu’elle n’était pas en mesure de s’engager pour un chiffre d’affaires inférieur à 600'000 fr. par an, lui permettant de couvrir ses coûts. Elle soutient ainsi qu’il s’agissait là pour elle d’une condition sine qua non de la conclusion du contrat. Or, s’il est constant qu’elle l’a fait savoir au liquidateur de R.________ SA, B.________, il n’est toutefois pas établi, malgré ce qu’elle prétend – et c’est ce qui est décisif –, qu’elle l’ait expressément déclaré à la défenderesse, ni même que sa volonté de s’engager à cette unique condition était reconnaissable par celle-ci. Au demeurant, et quand bien même les parties sont en litige depuis 2008 sur le montant de la rémunération due à la demanderesse, elles ont exécuté le contrat jusqu’à son terme, ce qui montre bien qu’elles se considéraient toutes deux comme liées par celui-ci. Il ressort de ce qui précède que les parties ont effectivement conclu un contrat de transport en signant le document daté des 5 et 8 janvier 2007. Ce contrat était valable, tant sur la forme que dans son contenu, à l’exception toutefois de la clause de durée (§ 14.1), qui contrevenait à l’art. 404 CO. Autrement dit, les parties conservaient la libre faculté de mettre fin au contrat en tout temps, sous réserve du paiement d’une indemnité en cas de révocation ou répudiation en temps inopportun. Ce point aura son importance par la suite (cf. infra V.b/bb). IV. Le litige entre les parties concerne l’interprétation du contrat des 5 et 8 janvier 2007, plus particulièrement des clauses 9.1 et 13.1, ainsi que la portée juridique des calculs de coûts figurant dans l’annexe. La demanderesse soutient que les parties se sont mises d’accord sur une adaptation à la hausse du tarif contractuel au cas où les objectifs quantitatifs (soit les volumes de produits pétroliers livrés) ne seraient pas atteints, ce que la défenderesse conteste. a) aa) En présence d’un litige portant sur l’interprétation d’un contrat, le juge doit tout d’abord s’efforcer de déterminer la réelle et commune intention des parties (art. 18 al. 1 CO). Cette recherche est qualifiée d’interprétation subjective (ATF 128 III 419 c. 2.2, SJ 2003 I p. 33 ; ATF 127 III 444 c. 1b, rés. in JT 2002 I 213 ; ATF 125 III 305 c. 2b, JT 2000 I 635). Le juge se fondera en premier lieu sur les termes utilisés par les parties. A titre complémentaire, il prendra en compte les circonstances (ATF 132 III 268 c. 2.3.2, JT 2006 I 564, rés. in SJ 2006 I 359). La doctrine mentionne à cet égard le contexte de la conclusion du contrat, le comportement des parties avant et après la conclusion, leurs intérêts respectifs et le but du contrat, ces éléments pouvant fournir des informations sur la volonté des parties et sur leurs intentions ( Gauch/Schluep/Schmid, Schweizerisches Obligationenrecht, Allgemeiner Teil, 9 e éd., nn. 1212 ss ; Winiger, CR-CO I, nn. 25, 32 ss et 37 ad art. 18 CO). L’art. 18 al. 1 CO suppose que les termes utilisés aient un sens immédiat ou objectif. Par ailleurs, en vertu de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Il s’ensuit que lorsque les parties, après la conclusion du contrat, divergent sur le sens de celui-ci et que l’une d’elles se réclame du sens littéral d’une ou plusieurs clauses, il appartient à celle qui s’éloigne du sens objectif des clauses litigieuses de prouver que son interprétation correspond à l’intention commune des parties (ATF 121 III 118 c. 4b/aa, rés. in JT 1995 I 274 ; Winiger, op. cit., nn. 22 et 24 ad art. 18 CO). L’art. 8 CC n'apporte en revanche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 il suffit que le tribunal n'ait pas de doutes sérieux. Il n'est en revanche pas suffisant que le fait soit hautement vraisemblable (Steinauer, op. cit., n. 666 et les références citées aux notes infrapaginales nn. 65 et 66). bb) Si la volonté réelle des parties ne peut pas être établie ou si les volontés intimes divergent, le juge doit interpréter les déclarations et les comportements selon la théorie de la confiance (ATF 133 III 61 c. 2.2.1, rés. in JT 2008 I 74, SJ 2007 I p. 21), en recherchant comment une déclaration ou une attitude pouvait être comprise de bonne foi en fonction de l’ensemble des circonstances (interprétation dite objective ; ATF 135 III 295 c.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 2.3.2 ; ATF 131 III 606 c. 4.1, rés. in JT 2006 I 126 ; ATF 130 III 417 c. 3.2, rés. in JT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 3.2.1, SJ 2010 I 317). Si l’application du principe de la confiance ne permet pas de dégager le sens des dispositions contractuelles litigieuses, le juge peut encore recourir, de manière subsidiaire, à la règle dite des clauses ambiguës ( in dubio contra stipulatorem ), d’après laquelle, en cas de doute, le contrat s'interprète en défaveur de son rédacteur (TF 4A_288/2013 du 8 octobre 2013 c. 2.2 ; ATF 124 III 155 c. 1b, JT 1999 I 125 ; ATF 122 III 118 c. 2a, JT 1997 I 805 ; Gauch/Schluep/Schmid, op. cit., nn. 1231 ss ). On ne recourt à ce mode d'interprétation que si la convention a été formulée par une seule partie et non pas conjointement par les cocontractants. Ce mode d'interprétation ne s'appliquera donc pas si les clauses du contrat ont fait l'objet de négociations détaillées ( Tercier/Pichonnaz, Le droit des obligations, 5 e éd., n. 951, p. 214 ; Winiger, op. cit., n. 51 ad art. 18 CO). b) aa) En l’espèce, la demanderesse fonde sa réclamation sur le § 13.2 du contrat des 5 et 8 janvier 2007. Selon elle, le fait que les quantités livrées se soient révélées finalement très inférieures à ce qui était prévu entrerait dans le cas de figure visé par cette clause, soit des « circonstances insurmontables susceptibles d’altérer de façon substantielle ses effets économiques et juridiques, ce qui n’était pas prévisible au moment de sa conclusion ». Elle soutient, en outre, que l’« adaptation suffisante, nécessaire au rétablissement de l’équilibre contractuel et susceptible d’approbation par l’autre partie » signifiait le rehaussement du tarif contractuel jusqu’à la couverture de ses coûts, et que c’est précisément dans ce but qu’un calcul des coûts prévisionnels a été annexé au contrat. Il ne ressort cependant pas de l’état de fait que les parties ont toutes les deux compris la clause de cette manière lors de la signature du contrat. S’il est admis de part et d’autre que le contrat, et notamment la clause précitée, ont fait l’objet d’une discussion approfondie entre les parties, on ne sait en revanche rien de la teneur de ces discussions. Les échanges de correspondance ayant précédé la signature du contrat n’abordent pas cette question. B.________, qui a favorisé l’entrée en négociation des parties, a rapporté ce que la demanderesse lui avait dit, à savoir qu’elle était prête à s’engager avec la défenderesse si celle-ci garantissait la couverture de ses charges. Cependant, il a déclaré ne rien savoir des discussions qui ces dernières ont eues entre elles. Quant au comportement ultérieur des parties, le peu qu’on en sait n’apporte aucune indication sur leurs intentions communes au moment de la conclusion du contrat. On ne dispose ainsi d’aucun élément permettant de retenir que la volonté réelle et commune des parties correspondait à l’interprétation que fait la demanderesse du § 13.2 du contrat. bb) Il convient maintenant d’examiner si le § 13.2 du contrat pouvait, compte tenu de l’ensemble des circonstances, être interprété de bonne foi dans le sens invoqué par la demanderesse, ce qui revient à déterminer le sens objectif de la clause. Tout d’abord, il est essentiel de ne pas isoler la clause litigieuse du reste du contrat. Or, ce dernier prévoit bien un mécanisme de compensation en cas de divergence entre les coûts effectifs et les coûts estimés, tels qu’ils ressortent de l’annexe. Cette disposition ne figure cependant pas au § 13.2 mais au § 9.1 du contrat. En outre, ce dernier envisage uniquement l’hypothèse d’une « modification à la baisse » du coût total, ce qui implique logiquement que la compensation devait alors être versée à la défenderesse par la demanderesse. Enfin, elle précise qu’il s’agit du « coût total comparé aux kilomètres », et non aux quantités livrées. Seul le § 9.1 se réfère au « tableau annexé », indiquant qu’il a été « utilisé comme base de calcul pour la fixation des tarifs ». En revanche, le § 13.2 n’y fait aucune référence. Par ailleurs, le § 13.2 est rédigé en termes très généraux, puisqu’il ne spécifie pas quelles « circonstances insurmontables » pourraient être visées, ni en quoi consisterait l’« équilibre contractuel » qu’il conviendrait alors de rétablir. Au contraire, le § 9.1 est bien plus détaillé, puisqu’il prévoit non seulement le principe d’une compensation, mais encore le moment du versement de celle-ci (la fin de l’année), le critère applicable (soit le coût par kilomètre) et enfin les conditions d’application du mécanisme, à savoir une baisse de ce coût supérieure à 10 %. Ces éléments suggèrent que les deux clauses visent donc en réalité des cas de figure bien distincts. Telle qu’il est formulé, le § 13.2 a davantage l’apparence d’une clause standard d’adaptation du contrat en cas de changement imprévisible et extraordinaire des circonstances sur lesquelles ont tablé les parties, soit d’une reprise de la clausula rebus sic stantibus qui permet au juge, même en dehors d’une convention expresse entre les parties dans ce sens, mais à des conditions strictes, d’intervenir dans l’économie du contrat (cf. infra V). Le titre du § 13 (« Loyauté ») appuie cette interprétation. Compte tenu du fait que le § 9.1 se réfère explicitement à l’annexe au contrat, en précisant qu’il a servi de « base de calcul pour la fixation des tarifs », une clause prévoyant le versement d’une compensation telle que la réclame la demanderesse aurait trouvé naturellement sa place à cet endroit du contrat. Or, il n’en a rien été, puisque les parties ont seulement réglé le cas de figure inverse, où la demanderesse était tenue au versement d’une compensation envers la défenderesse. Il faut dès lors se demander si, selon les règles de la bonne foi, et au vu de l’ensemble des circonstances, cette omission doit être considérée comme une simple inadvertance devant être comblée par les instruments de la logique ou bien comme un silence qualifié. (i) Tout d’abord, il est constant que le contrat a fait l’objet d’une négociation approfondie, et en particulier les § 9.1 et 13.2, ce qui rend d’emblée peu vraisemblable l’hypothèse d’une inadvertance. On note, par ailleurs, que le tarif contractuel a évolué entre août 2006 et janvier 2007. En effet, le premier contrat prévoyait, pendant une première période de deux mois (septembre et octobre 2006), des tarifs différenciés pour sept zones de livraison. Durant la deuxième période de deux mois (novembre et décembre 2006), c’est au contraire un tarif forfaitaire de</w:t>
      </w:r>
    </w:p>
    <w:p>
      <w:r>
        <w:rPr>
          <w:b/>
        </w:rPr>
        <w:t>E. 3</w:t>
      </w:r>
    </w:p>
    <w:p>
      <w:r>
        <w:t>en 2008) qui se situaient dans le même ordre de grandeur que les ventes autrefois réalisées par R.________ SA. Il convient également de relever qu’avant la signature du contrat litigieux, les parties ont été liées par un premier contrat de transport durant quatre mois. Cette collaboration a probablement permis à la demanderesse de se faire une première idée du volume d’affaires qu’elle pouvait espérer réaliser dans l’avenir avec la défenderesse. Elle n’a cependant rien allégué à cet égard et, notamment, n’a pas démontré que les quantités livrées auraient brutalement chuté entre fin 2006 et 2007. On ne peut dès lors pas retenir qu’il s’est produit un changement imprévisible des circonstances qui avaient déterminé la conclusion et le contenu du contrat. bb) En deuxième lieu, il n’est pas possible de considérer que le changement des circonstances était inévitable, dans la mesure où la demanderesse, si elle redoutait que la poursuite de l’exécution du contrat lui fasse perdre de l’argent – ce qui ressort de sa lettre du 20 février 2008 à la défenderesse –, conservait la faculté d’exiger une révision à la hausse du tarif de ses prestations et, en cas de refus, de se départir du contrat de transport avant son échéance. Il n’est pas établi qu’en procédant de la sorte elle se serait exposée au paiement de dommages-intérêts à la défenderesse, compte tenu des conditions strictes posées par la jurisprudence à l’indemnité pour résiliation en temps inopportun. cc) Enfin, rien ne permet de retenir que la non-réalisation des prévisions de ventes aurait gravement altéré l’équivalence entre les prestations des parties, et encore moins que la défenderesse aurait exploité ce déséquilibre de manière usuraire. En effet, on a précédemment souligné que la demanderesse avait la possibilité de diminuer ses coûts fixes (consistant, à 75%, en coûts salariaux) en réduisant son nombre de chauffeurs, ce qu’elle a fait à partir du 1 er juin 2008. Or, il n’est ni établi ni même allégué que la diminution de l’effectif de la demanderesse aurait entravé la bonne exécution de contrat passé avec la défenderesse. On peut ainsi raisonnablement penser qu’en réduisant son effectif de chauffeurs plus tôt, la demanderesse n’aurait pas assumé des coûts aussi élevés, et en partie inutiles. Par ailleurs, il n’est pas prouvé que les camions et les chauffeurs utilisés pour l’exécution du contrat avec la défenderesse aient été exclusivement dédiés à celle-ci. Au contraire, les experts ont constaté une part relativement constante des frais de personnel de la demanderesse par rapport à son chiffre d’affaires, ce qui suggère la possibilité que la demanderesse ait aussi utilisé ces camions et ces chauffeurs pour exécuter d’autres contrats avec des sociétés concurrentes. Le contrat des 5 et 8 janvier 2007 lui en laissait la liberté (§ 11), pour autant que la demanderesse n’effectue pas ces livraisons avec des camions sur lesquels était apposé le logo de la défenderesse. Or, on sait que les camions utilisés dans le cadre de l’exécution du contrat ont été laissés entièrement blancs. La demanderesse avait donc toute latitude pour rechercher de nouveaux clients afin de rentabiliser ses investissements et son personnel. Certes, la teneur du § 3.1 du contrat (disposant que « le transporteur doit mettre à disposition d’Agip un parc de véhicules permanent ») pouvait susciter un doute dans l’esprit de la demanderesse, en ce qu’il semblait contredire le droit – expressément mentionné au § 11 – de fournir des services à des tiers avec les mêmes véhicules. Toutefois, à supposer que la demanderesse ait effectivement conçu un doute à ce sujet dans les premiers mois de l’exécution du contrat, elle pouvait, et même devait, selon les règles de la bonne foi, interpeller la défenderesse afin de savoir à quoi s’en tenir. Les parties ont d’ailleurs discuté ce point lors de leur rencontre du 7 mai 2008, suite à laquelle la défenderesse a écrit à la demanderesse que celle-ci « garda[it] la possibilité d’utiliser au mieux ses véhicules également pour d’autres clients ». Au vu de cette clarification, la réponse de la demanderesse du 25 juin 2008, qui se référait de nouveau au § 3.1 du contrat, est difficilement compréhensible. De surcroît, même si les calculs prévisionnels figurant dans l’annexe au contrat des</w:t>
      </w:r>
    </w:p>
    <w:p>
      <w:r>
        <w:rPr>
          <w:b/>
        </w:rPr>
        <w:t>E. 5</w:t>
      </w:r>
    </w:p>
    <w:p>
      <w:r>
        <w:t>et 8 janvier 2007 semblent reposer sur l’hypothèse implicite que les camions et chauffeurs seraient dédiés exclusivement à défenderesse, on ne peut pas en déduire ipso facto que tel a ensuite été effectivement le cas. Il n’est ainsi pas établi que les prestations fournies par la demanderesse aient été disproportionnées par rapport à la contre-prestation fournie par la défenderesse, et encore moins établi que la demanderesse ait été contrainte de subir cette disproportion – autrement dit un déficit – jusqu’au terme du contrat. Les conditions d’une adaptation judiciaire du contrat, qui se confondent avec celles prévues au § 13.2 du contrat interprété selon le principe de la confiance, ne sont donc pas réunies. En définitive, la demande doit être intégralement rejetée.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défenderesse obtient entièrement gain de cause et a donc droit à de pleins dépens, à la charge de la demanderesse, qu'il convient d'arrêter à 30'177 fr. 65 fr., savoir : a) 25'000 fr. à titre de participation aux honoraires de son conseil ; b) 1'250 fr. pour les débours de celui‑ci ; c) 3'927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