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283 vom 27. November 2012</w:t>
      </w:r>
    </w:p>
    <w:p>
      <w:r>
        <w:t>VD Tribunal cantonal, 2012-11-27, FR</w:t>
      </w:r>
    </w:p>
    <w:p>
      <w:r>
        <w:rPr>
          <w:b/>
        </w:rPr>
        <w:t xml:space="preserve">Quelle: </w:t>
      </w:r>
      <w:r>
        <w:t>https://mcp.opencaselaw.ch/entscheid/vd_findinfo_Jug___2015___283</w:t>
      </w:r>
    </w:p>
    <w:p>
      <w:r>
        <w:t>FR: VD_FINDINFO Jug / 2015 / 283 du 27 novembre 2012</w:t>
      </w:r>
    </w:p>
    <w:p>
      <w:r>
        <w:t>IT: VD_FINDINFO Jug / 2015 / 283 del 27 novembre 2012</w:t>
      </w:r>
    </w:p>
    <w:p>
      <w:pPr>
        <w:pStyle w:val="Heading2"/>
      </w:pPr>
      <w:r>
        <w:t>Regeste</w:t>
      </w:r>
    </w:p>
    <w:p>
      <w:r>
        <w:t>DROIT DE LA FONCTION PUBLIQUE, CLASSE DE TRAITEMENT, EMPLOYÉ PUBLIC, SALAIRE, POUVOIR D'APPRÉCIATION, ARBITRAIRE DANS L'APPLICATION DU DROIT, ÉGALITÉ DE TRAITEMENT | 19 al. 1 LPers-VD, 6 DecFo, 7 DecFo</w:t>
      </w:r>
    </w:p>
    <w:p>
      <w:pPr>
        <w:pStyle w:val="Heading2"/>
      </w:pPr>
      <w:r>
        <w:t>Erwägungen</w:t>
      </w:r>
    </w:p>
    <w:p>
      <w:r>
        <w:rPr>
          <w:b/>
        </w:rPr>
        <w:t>E. 11</w:t>
      </w:r>
    </w:p>
    <w:p>
      <w:r>
        <w:t>Pour sa part, la Commission a relevé dans sa décision du 27 novembre 2012, que l’attribution à l’intimée de la chaîne 192 se justifiait au regard de son degré d’expertise ainsi que de sa position de « référente » et d’ « aînée » au sein du service. Elle s’est également déterminée sur le recours de l’Etat de Vaud en ce sens que l’intimée disposerait d’une expertise et de compétences supérieures aux critères prescrits par le niveau 11 de la chaîne 191. Partant, celle-ci bénéficierait d’un savoir-faire « expert », et non seulement « approfondi », justifiant une différence de niveau. b)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 Procédure administrative vaudoise annotée, n. 2.2 ad art. 76 et les références citées). Il sied également de rappeler que, d’une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Dans la présente cause, l’intimée s’est vu attribuer l’emploi-type de « logopédiste en milieu hospitalier », niveau 11, chaîne 191, conformément à son cahier des charges ou à ses activités réellement exercées au moment de la bascule, en décembre 2008. Les questions liées aux activités, et par conséquent à l’emploi-type, relèvent de l’organisation et de la rémunération au sein de l’administration de l’Etat. Dans ce domaine, le Tribunal, comme autorité de recours, doit faire preuve de retenue et ne peut substituer sa propre appréciation à celle de l’autorité d’engagement sauf si la décision de celle-ci viole les principes généraux du droit administratif.. c) Dans sa décision du 27 novembre 2012, la Commission a procédé à un examen du niveau 11 de la chaîne 191 (« profil spécialiste ») et du niveau 12 de la chaîne 192 (« profil expert ») afin d’établir si la collocation de l’intimée au dernier niveau cité était justifiée. Il ressort des motifs de la décision précitée que : « 1. S’agissant des compétences professionnelles, la recourante exerce la fonction de logopédiste depuis 1989, témoignant ainsi d’une très longue expérience et de connaissances particulièrement approfondies. En outre, son cahier des charges indique comme connaissances particulières une formation approfondie en rééducation vocale de l’adulte et de l’enfant, en rééducation de la déglutition chez l’adulte ainsi qu’en réhabilitation vocale après laryngectomie partielle et totale. 2. Quant aux compétences personnelles et sociales, il ressort de l’audition menée le 27 novembre 2012 que la recourante occupe une véritable place de référente au sein du service dans lequel elle travaille depuis vingt ans. 3. On constate dès lors que l’expérience et les connaissances spécifiques de la recourante la place à un niveau supérieur par rapport aux autres logopédistes, dépassant ainsi les exigences prescrites par le niveau 11. La Commission de céans estime qu’il est dès lors justifié de colloquer le poste de la recourante au niveau 12 de la chaîne 192. » En l’espèce, le Tribunal de céans ne peut se rallier au raisonnement de la Commission. Au niveau des compétences professionnelles, le Diplôme universitaire de logopédie dont dispose l’intimée correspond certes à une formation de niveau master. En revanche, s’agissant des connaissances pratiques indispensables à l’exercice de la fonction, bien que l’intimée dispose d’un savoir-faire approfondi, il se limite à des activités spécifiques, et non à un large domaine d’activités comme exigé pour le « profil expert » de la chaîne 192. En effet, afin de répondre aux critères du « profil expert », il ne suffit pas d’occuper un poste de référence dans des domaines très spécifiques tels que la rééducation vocale de l’adulte et de l’enfant, la rééducation de la déglutition chez l’adulte, ou encore la réhabilitation vocale après laryngectomie partielle et totale, par exemple. De plus, l’argument de la Commission faisant valoir la longue expérience de l’intimée ne saurait être retenu. Le critère de l’expérience, de même que celui de l’ancienneté, peuvent être pris en compte dans la détermination de l’échelon, mais non dans celle du niveau. La Commission s’est par conséquent fourvoyée en érigeant l’expérience en critère principal de la collocation de l’intimée dans la chaîne 192. S’agissant des compétences personnelles et sociales, l’intimée a initialement été colloquée au plus haut niveau de la chaîne 191 non seulement en raison de la grande indépendance dont elle faisait preuve dans ses fonctions, mais également pour ses capacités de supervision de collègues ou de stagiaires dans un domaine précis. Le Tribunal de céans n’a cependant pas acquis la conviction que les messages diffusés par l’intimée s’adressaient à de grands groupes de personnes ayant des intérêts divergents. En effet, s’il est vrai que l’intimée formait de jeunes logopédistes, elle ne gérait pas un grand groupe. Sa collègue, Y.________, a par ailleurs expliqué en audience qu’il existait deux postes de stagiaires universitaires et que quatre des cinq logopédistes de l’équipe pouvaient les encadrer. De même, les travaux et/ou problèmes complexes se résolvaient également au sein d’un cercle restreint et non d’un grand groupe de personnes comme l’exige le niveau 12 de la chaîne 192. Il convient encore d’insister sur le fait que l’ancienneté d’un collaborateur est valorisée par l’échelon, de sorte que cet élément ne peut être pris en compte dans la détermination du niveau. d) En définitive, bien que l’intimée dispose d’une expertise technique certaine, celle-ci ne permet toutefois pas d’admettre le « profil expert » de la chaîne 192, pour laquelle l’aspect management a plus de poids. Les compétences de l’intimée sont déjà correctement valorisées par sa collocation au plus haut de la chaîne 191. Par conséquent, la décision de la Commission colloquant l’intéressée au niveau</w:t>
      </w:r>
    </w:p>
    <w:p>
      <w:r>
        <w:rPr>
          <w:b/>
        </w:rPr>
        <w:t>E. 12</w:t>
      </w:r>
    </w:p>
    <w:p>
      <w:r>
        <w:t>peut se justifier notamment par ses activités de planification de la formation continue de ses collaborateurs ainsi par son rôle de représentante de l’unité au sein du CHUV. L’activité de la logopédiste-cheffe est ainsi clairement axée plus sur la conduite et la supervision d’une équipe que sur le traitement des patients. Au demeurant, s’il y avait lieu de considérer que l’enclassement de la logopédiste-cheffe était erroné parce que supérieur à celui qui aurait dû lui être attribué, ce seul fait ne permettrait pas à l’intimée de se réclamer d’une quelconque égalité de traitement. L’analyse de l’activité d’un « psychologue médico-psychosocial » exerçant au CHUV au niveau 12, chaîne 192, dénote également une prépondérance des aspects de supervision et d’encadrement de ce poste. Dès lors et une fois de plus, il ne se justifie donc pas d’attribuer le niveau 12 de la chaîne 192 à l’intimée. Au niveau de la cohérence transversale, le recourant compare, dans son mémoire de recours, le poste de l’intimée avec celui de « logopédiste en milieu scolaire » au sein du SESAF, colloqué au niveau 11 de la chaîne 191. Il en découle qu’afin de valoriser certaines compétences supplémentaires, un collaborateur peut se voir attribuer certaines prérogatives additionnelles comme des tâches d’expertise ou l’animation de conférences et/ou séminaires professionnels, par exemple. Pour le Tribunal de céans, tel est également le cas de l’intimée, de sorte que la collocation de celle-ci au niveau 11 de la chaîne 191 est adéquate. A contrario, le recourant procède à une comparaison avec le poste, toujours au sein du SESAF, de « responsable de prestations en orientation scolaire et professionnelle », initialement colloqué au niveau 11 de la chaîne 361, puis au niveau 12 de la chaîne 362, suite à une décision du Conseil d’Etat du 11 novembre 2009. Il ressort de cette comparaison que le collaborateur en question occupait un rôle stratégique, notamment de coordination avec la directrice cantonale et les chef-fe-s de Centres régionaux ; par conséquent l’impact de ses décisions était nettement plus important que celui des décisions prises par l’intimée dans l’exercice de ses fonctions. A la lumière de ce qui précède, le Tribunal de céans considère que l’égalité, non seulement transversale, mais aussi interne, ne peut être conservée que si le poste de l’intimée est colloqué au niveau 11 de la chaîne 191. V. En conclusion, le recours de l’Etat de Vaud doit être admis et la décision de la Commission colloquant l’intimée au niveau 12 de la chaîne 192 annulée. Les frais de deuxième instance sont arrêtés à CHF 500.- et mis à la charge de l’intimée qui succombe (art. 47 al. 2, 49 al. 1 LPA-VD, art. 4 al. 3 du tarif des frais judiciaires en matière de droit administratif et public du 11 décembre 2007 ; RSV 173.36.5.1). Par ces motifs, statuant immédiatement, au complet, à huis clos et en contradictoire le Tribunal de Prud'hommes de l'administration cantonale prononce: I. Le recours est admis ; II. La décision du 27 novembre 2012 de la Commission de recours DECFO-SYSREM est annulée ; III. L’intimée, S.________, est colloquée dans l’emploi-type « logopédiste en milieu hospitalier », chaîne 191, niveau 11, dès le 1 er décembre 2008 ; IV. Les frais de seconde instance sont arrêtés à CHF 500.- (cinq cents francs) ; V. L’intimée S.________ versera au défendeur, l’Etat de Vaud, la somme de CHF 500.- (cinq cents francs). La présidente : La greffière : Christine SATTIVA SPRING, v.-p. Charlotte ZUFFEREY Du 22 mai 2015 La décision rendue ce jour est notifiée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