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266 vom 5. März 2015</w:t>
      </w:r>
    </w:p>
    <w:p>
      <w:r>
        <w:t>VD Tribunal cantonal, 2015-03-05, FR</w:t>
      </w:r>
    </w:p>
    <w:p>
      <w:r>
        <w:rPr>
          <w:b/>
        </w:rPr>
        <w:t xml:space="preserve">Quelle: </w:t>
      </w:r>
      <w:r>
        <w:t>https://mcp.opencaselaw.ch/entscheid/vd_findinfo_Jug___2015___266</w:t>
      </w:r>
    </w:p>
    <w:p>
      <w:r>
        <w:t>FR: VD_FINDINFO Jug / 2015 / 266 du 5 mars 2015</w:t>
      </w:r>
    </w:p>
    <w:p>
      <w:r>
        <w:t>IT: VD_FINDINFO Jug / 2015 / 266 del 5 marzo 2015</w:t>
      </w:r>
    </w:p>
    <w:p>
      <w:pPr>
        <w:pStyle w:val="Heading2"/>
      </w:pPr>
      <w:r>
        <w:t>Regeste</w:t>
      </w:r>
    </w:p>
    <w:p>
      <w:r>
        <w:t>PEINE PÉCUNIAIRE, AMENDE, CONVERSION DE LA PEINE | 34 al. 2 CP, 42 al. 4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 L'appel peut être traité en procédure écrite, vu l’acquiescement des parties (art. 406 al. 2 let. a CPP).</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L’appelante fait valoir que le montant du jour-amende ne pourrait pas dépasser 10 fr., dès lors que le Tribunal de police avait retenu qu’elle n’exerçait aucune activité lucrative mais était au bénéfice de l’aide publique. Le Parquet rétorque que, d’une part, l’appelante se payait le luxe d’un avocat de choix après avoir contesté en vain, jusqu’au Tribunal fédéral (TF 1B_24/2015 du 19 février 2015), le refus de lui accorder un défenseur d’office et que, d’autre part, rien ne permettait de penser que l’intéressée était incapable de travailler. Il relève aussi que la peine pécuniaire, prononcée avec sursis, ne représente qu’un total de 400 francs.</w:t>
      </w:r>
    </w:p>
    <w:p>
      <w:r>
        <w:rPr>
          <w:b/>
        </w:rPr>
        <w:t>E. 2.3</w:t>
      </w:r>
    </w:p>
    <w:p>
      <w:r>
        <w:t>L'art. 34 al. 2 CP prévoit que le juge fixe le montant du jour-amende selon la situation personnelle et économique de l'auteur au moment du jugement, notamment en tenant compte de son revenu et de sa fortune, de son mode de vie, de ses obligations d'assistance, en particulier familiales, et du minimum vital. Selon la jurisprudence (ATF 134 IV 60 c. 6; SJ 2010 I 205),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mentionne encore la fortune comme critère d'évaluation. Il s'agit de la substance même du patrimoine, les fruits de ce dernier constituant déjà des revenus. La fortune ne doit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(TF 6B_845/2009 du 11 janvier 2010 c. 1.1.2). 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(TF 6B_845/2009 du 11 janvier 2010 c. 1.1.3). La portée du minimum vital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(ATF 134 IV 97 c. 5.2.3). La situation financière concrète est toujours déterminante. La fixation de la quotité du jour-amende dans le cas concret procède d'un pouvoir d'appréciation exercé avec soin (ATF 134 IV 60 c. 5 et 6; TF 6B_541/2007 du 13 mai 2008).</w:t>
      </w:r>
    </w:p>
    <w:p>
      <w:r>
        <w:rPr>
          <w:b/>
        </w:rPr>
        <w:t>E. 2.4</w:t>
      </w:r>
    </w:p>
    <w:p>
      <w:r>
        <w:t>Il ressort du dossier que l’appelante vit à New York. Economiste de formation, spécialisée dans l’aide au développement, elle n’exerce aucune activité lucrative, sans qu’on sache depuis quand et pourquoi, en particulier si l’hépatite dont elle a appris en 2012 qu’elle souffrait l’empêche de travailler. Elle est mariée mais séparée; elle a un enfant dont elle s’occupe. Elle vit de l’aide publique et de la générosité de sa famille. En 2012, elle a été condamnée à des jours-amende de 30 francs. L’appelante indique que l’aide publique qu’elle perçoit se monte à 357 dollars par mois (P. 58). Comme le relève l’intimé, elle s’offre les services d’un avocat de choix. Pour le surplus on ne sait rien de son mode de vie, si ce n’est qu’elle a vécu en Afrique du Sud avec son mari, puis en Suisse avec son co-prévenu, et désormais aux Etats-Unis. On doit dès lors admettre qu’elle est capable de mobiliser des ressources financières au besoin et que sa situation n’est pas misérable. La quotité de 20 fr. est adéquate.</w:t>
      </w:r>
    </w:p>
    <w:p>
      <w:r>
        <w:rPr>
          <w:b/>
        </w:rPr>
        <w:t>E. 3.1</w:t>
      </w:r>
    </w:p>
    <w:p>
      <w:r>
        <w:t>L’appelante fait valoir qu’une amende à titre de sanction immédiate ne se justifiait pas. Elle ajoute que son montant serait au demeurant disproportionné par rapport à la peine principale, dont elle est censée représenter le cinquième en vertu de la jurisprudence. Le Ministère public rappelle que cette règle du cinquième souffre d’une exception en cas de peines de faible importance, pour éviter que la peine cumulée n’ait qu’une portée symbolique (ATF 135 IV 188 c. 3.4.4).</w:t>
      </w:r>
    </w:p>
    <w:p>
      <w:r>
        <w:rPr>
          <w:b/>
        </w:rPr>
        <w:t>E. 3.2</w:t>
      </w:r>
    </w:p>
    <w:p>
      <w:r>
        <w:t>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 7.3.1). La combinaison prévue à l'art. 42 al. 4 CP constitue un "sursis qualitativement partiel" (ATF 134 IV 1 c.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 8; 134 IV 60 c.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 3.4.4).</w:t>
      </w:r>
    </w:p>
    <w:p>
      <w:r>
        <w:rPr>
          <w:b/>
        </w:rPr>
        <w:t>E. 3.3</w:t>
      </w:r>
    </w:p>
    <w:p>
      <w:r>
        <w:t>En l’espèce, la prévenue a commis les actes qui lui sont reprochés en novembre 2012, alors qu’elle était sous le coup d’un sursis (assorti d’un délai d’épreuve de deux ans) depuis le mois d’août 2012. Bien qu’elle sût que ses allégations dirigées contre son coprévenu, son ancien concubin, étaient infondées, elle les a répétées à deux reprises et n’a jamais présenté d’excuses ou de regrets à l’intéressé, alors même que ce dernier est fragilisé par une – autre – maladie grave. Le principe d’une amende à titre de sanction immédiate était justifié pour attirer l’attention de la prévenue sur le sérieux de la situation. Quant à sa quotité de 100 fr., elle demeure modique. Elle correspond à un quart de la peine principale. Une amende d’un cinquième du total des jours-amende (qui équivaut à une somme cumulée de 400 fr.), soit 80 fr., aurait vraiment été dérisoire. Le total des deux peines, soit 500 fr., n’est nullement excessif au vu de la faute commise. Il se justifie donc de déroger au principe selon lequel la limite supérieure de la peine accessoire est d’un cinquième de la peine principale.</w:t>
      </w:r>
    </w:p>
    <w:p>
      <w:r>
        <w:rPr>
          <w:b/>
        </w:rPr>
        <w:t>E. 4.1</w:t>
      </w:r>
    </w:p>
    <w:p>
      <w:r>
        <w:t>L’appelante fait valoir que, selon la jurisprudence de la Cour de céans (CAPE, 11 janvier 2012, n° 1/2012), le taux de conversion de l’amende devrait être d’un jour par tranche de 100 francs. Le Ministère public soutient que le taux de conversion doit au contraire correspondre au montant du jour-amende.</w:t>
      </w:r>
    </w:p>
    <w:p>
      <w:r>
        <w:rPr>
          <w:b/>
        </w:rPr>
        <w:t>E. 4.2</w:t>
      </w:r>
    </w:p>
    <w:p>
      <w:r>
        <w:t>L'ancien droit prévoyait un taux de conversion de l'amende en peine privative de liberté fixe (cf. l'ancien art. 49 ch. 3 al. 3 CP, qui prévoyait 30 fr. pour un jour d'arrêts). Le nouveau droit n'impose plus un taux de conversion fixe. Cependant, la doctrine approuve la pratique selon laquelle le juge doit pouvoir se référer à des lignes directrices de fixation de la peine pour des infractions de masse. Dans ce genre de cas en effet, la situation financière de l'auteur n'entre pas ligne de compte dans la fixation du montant de l'amende. Un taux de conversion fixe ne risque ainsi pas d'entraîner une inégalité de la durée de la peine privative de liberté, en fonction des ressources financières du condamné. C'est ainsi que, selon les recommandations de la Conférence des autorités de poursuite pénale suisse (CAPS), le taux de conversion "standard" est de 100 fr. d'amende pour un jour de privation de liberté. Ce taux a finalement été retenu par la doctrine (Jeanneret, Les peines selon le nouveau Code pénal, in : Séminaire de formation continue des juges suisses concernant la partie générale du Code pénal, pp. 28 ss, spéc. p. 30, note de bas de page 140, cité par CCASS, 26 janvier 2009, n° 24/2009, c. 3). Cette même doctrine envisage, pour les infractions de masse, tantôt un taux de 50 fr. par jour, tantôt un taux de 100 fr. par jour. Ce dernier taux présente l'avantage de pouvoir être rattaché à un critère objectif, soit le ratio entre la valeur maximale de l'amende et le nombre maximum de jours de peine privative de liberté de substitution : 10'000 francs divisés par 90 jours, soit 111 fr., arrondis à 100 fr. (Jeanneret, op. cit. n. 19 ad. art. 106 CP). S'agissant des contraventions moins courantes, qui ne sont pas traitées de manière standardisée, la doctrine suggère différentes pistes. La première solution consiste à appliquer un principe de conversion relevant purement du pouvoir d'appréciation du juge. Cette possibilité est sans doute la plus proche du texte légal. Une autre approche consiste à élaborer une règle de conversion qui repose sur un système proportionnel fondé sur l'équivalence des maxima et des minima : si l'on part du principe qu’un franc d'amende correspond à un jour de peine privative de liberté et que 10'000 fr. correspondent à 90 jours, alors que 5'000 fr. correspondent à 45 jours et ainsi de suite. Cette formule a le mérite d'atténuer quelque peu les inégalités de la conversion fixe. Une troisième solution, inspirée du régime des jours-amende, consiste à déterminer la peine en deux étapes. Dans un premier temps, le juge fixe le montant de l'amende forfaitaire qu'il estime juste en prenant en compte toutes les circonstances, mais, s'agissant de la situation financière, il prend en considération un citoyen suisse réalisant le revenu national ou cantonal moyen. Le juge applique à ce chiffre le taux de conversion fixe de 100 fr. pour déterminer le quantum de la peine de substitution. Dans un second temps, il augmente ou diminue le montant de l'amende correspondant au citoyen moyen, en fonction de la situation financière particulière du condamné, afin de déterminer le montant de l'amende qu'il va concrètement infliger (Jeanneret, op. cit., n. 20 ad art. 106 CP; CCASS, 25 octobre 2010, n° 413/2010, c. 7b; CCASS, 6 décembre 2010, n° 473/2010). Le juge dispose, en ce qui concerne la fixation de la peine privative de liberté de substitution, d'un pouvoir d'appréciation étendu. Lorsqu'une telle peine doit être fixée pour une amende additionnelle au sens de l'art. 42 al. 4 CP, il y a ceci de particulier que le juge a déjà fixé le montant du jour-amende pour la peine principale assortie du sursis, partant la capacité économique de l'auteur. Il est possible et peut même paraître adéquat d'utiliser le montant du jour-amende comme taux de conversion et de diviser l'amende additionnelle par ce montant (CCASS, 9 février 2009, n° 41/2009, c. 5.1).</w:t>
      </w:r>
    </w:p>
    <w:p>
      <w:r>
        <w:rPr>
          <w:b/>
        </w:rPr>
        <w:t>E. 4.3</w:t>
      </w:r>
    </w:p>
    <w:p>
      <w:r>
        <w:t>Il ne s’agit pas ici d’une contravention standard du contentieux de masse, mais d’une peine accessoire sanctionnant un délit. Il était donc cohérent d’appliquer le taux de conversion équivalent au montant du jour-amende, soit 20 fr. par jour.</w:t>
      </w:r>
    </w:p>
    <w:p>
      <w:r>
        <w:rPr>
          <w:b/>
        </w:rPr>
        <w:t>E. 5</w:t>
      </w:r>
    </w:p>
    <w:p>
      <w:r>
        <w:t>En définitive, l’appel sera rejeté. L'émolument d’appel (art. 21 al. 1 et 2 TFIP [Tarif des frais de procédure et indemnités en matière pénale du 28 septembre 2010; RSV 312.03.1]) sera mis à la charge de l’appelante, qui succombe (art. 428 al. 1 CPP). La prévenue, qui a agi assistée par un défenseur de choix, a conclu à l’octroi d’une indemnité pour les dépenses occasionnées par l'exercice raisonnable de ses droits de procédure au sens de l’art. 429 CPP, pour les opérations liées à la procédure d'appel. Elle a chiffré et justifié ses prétentions conformément à l’art. 429 al. 2 CPP. Toutefois, dans la mesure où son appel est mal fondé, une telle indemnité ne se justifie pas, faute pour la prévenue d’être acquittée totalement ou même en partie au sens de l’art. 429 al. 1 in initio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