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265 vom 12. Februar 2015</w:t>
      </w:r>
    </w:p>
    <w:p>
      <w:r>
        <w:t>VD Tribunal cantonal, 2015-02-12, FR</w:t>
      </w:r>
    </w:p>
    <w:p>
      <w:r>
        <w:rPr>
          <w:b/>
        </w:rPr>
        <w:t xml:space="preserve">Quelle: </w:t>
      </w:r>
      <w:r>
        <w:t>https://mcp.opencaselaw.ch/entscheid/vd_findinfo_Jug___2015___265</w:t>
      </w:r>
    </w:p>
    <w:p>
      <w:r>
        <w:t>FR: VD_FINDINFO Jug / 2015 / 265 du 12 février 2015</w:t>
      </w:r>
    </w:p>
    <w:p>
      <w:r>
        <w:t>IT: VD_FINDINFO Jug / 2015 / 265 del 12 febbraio 2015</w:t>
      </w:r>
    </w:p>
    <w:p>
      <w:pPr>
        <w:pStyle w:val="Heading2"/>
      </w:pPr>
      <w:r>
        <w:t>Regeste</w:t>
      </w:r>
    </w:p>
    <w:p>
      <w:r>
        <w:t>CONTRAVENTION, JUGE UNIQUE, INSOUMISSION À UNE DÉCISION DE L'AUTORITÉ | 292 CP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dans les formes contre un jugement d’un tribunal de première instance ayant clos la procédure (art. 398 al. 1 CPP), l’appel est recevable.</w:t>
      </w:r>
    </w:p>
    <w:p>
      <w:r>
        <w:rPr>
          <w:b/>
        </w:rPr>
        <w:t>E. 1.2</w:t>
      </w:r>
    </w:p>
    <w:p>
      <w:r>
        <w:t>Le jugement de première instance et l'appel concernant uniquement une contravention, la procédure écrite est applicable (art. 406 al. 1 let. c CPP) et la cause est de la compétence d'un membre de la cour d'appel statuant comme juge unique (art. 14 al. 3 LVCPP [Loi d'introduction du Code de procédure pénale suisse du 19 mai 2009, RSV 312.01]).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L’appel restreint de l’art. 398 al. 4 CPP a été prévu pour les cas de peu d'importance, soit concernant des infractions mineures, le droit conventionnel international admettant en pareil cas des exceptions au droit à un double degré de juridiction (Kistler Vianin, in : Kuhn/Jeanneret [éd.], Commentaire romand, Code de procédure pénale suisse, Bâle 2011, nn. 22 et 23 ad art. 398 CPP).</w:t>
      </w:r>
    </w:p>
    <w:p>
      <w:r>
        <w:rPr>
          <w:b/>
        </w:rPr>
        <w:t>E. 2.2</w:t>
      </w:r>
    </w:p>
    <w:p>
      <w:r>
        <w:t>En l’espèce, l’appelante a requis, à titre de mesures d’instruction, la production de l’inventaire complet des titres de [...] SA et de [...] SA, ainsi que l’établissement de la véritable valeur fiscale de l’action de W.________ SA. Le jugement entrepris a trait uniquement au refus de l’appelante de se soumettre à une injonction de l’autorité de poursuite. L’appel est dès lors restreint à l’examen des conditions de réalisation de l’infraction d’insoumission à une décision de l’autorité au sens de l’art. 292 CP. Les réquisitions de l’appelante sortent ainsi du cadre du présent appel de sorte qu’on ne saurait y donner suite.</w:t>
      </w:r>
    </w:p>
    <w:p>
      <w:r>
        <w:rPr>
          <w:b/>
        </w:rPr>
        <w:t>E. 3</w:t>
      </w:r>
    </w:p>
    <w:p>
      <w:r>
        <w:t>L’appelante évoque notamment le litige successoral qui l’oppose à son beau-frère, s’agissant de la valeur des actions de W.________ SA qu’elle détient, afin d’expliquer les raisons pour lesquelles elle n’a pas transmis à l’office le certificat d’actions.</w:t>
      </w:r>
    </w:p>
    <w:p>
      <w:r>
        <w:rPr>
          <w:b/>
        </w:rPr>
        <w:t>E. 3.1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 4d). Cette exigence de précision est une conséquence du principe "nullum crimen sine lege" de l'art. 1 CP (cf. ATF 127 IV 119 c.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 1; voir également ATF 131 IV 132 c. 3 ; ATF 124 IV 297 c. 4e). Lorsqu’une injonction relève du droit administratif au sens large, le juge pénal ne peut pas revoir la légalité de cette décision si une autorité judiciaire a contrôlé la légalité de l’injonction (ATF 121 IV 31 c. 2a ; Corboz, Les infractions en droit suisse, vol. I, 3 e éd, Berne 2010, n. 11 ss ad art. 292 CP).</w:t>
      </w:r>
    </w:p>
    <w:p>
      <w:r>
        <w:rPr>
          <w:b/>
        </w:rPr>
        <w:t>E. 3.2</w:t>
      </w:r>
    </w:p>
    <w:p>
      <w:r>
        <w:t>En l’espèce, la décision du 24 juin 2014 de l’Office des poursuites du district de Lavaux-Oron décrit précisément le comportement exigé de l’appelante. Il reproduit également intégralement le texte de l’art. 292 CP, de sorte que l’on doit admettre que l’appelante savait que si elle n’obtempérait pas, elle s’exposait à une peine d’amende. En outre, par décision du 8 février 2013, l’Office des poursuites du district de Lavaux-Oron a confirmé la saisie des actions de la société W.________ SA et a sommé l’appelante de les mettre à sa disposition. Le procès-verbal de saisie du 28 juin 2013, qui constate que ces certificats d’actions n’ont pas été produits, a fait l’objet d’une plainte de l’appelante, qui a été rejetée le 10 décembre 2013 par le Tribunal d’arrondissement de l’Est vaudois, autorité inférieure de surveillance en matière de poursuites pour dettes et de faillites. Le recours déposé par l’appelante contre cette décision a été rejeté par la Cour des poursuites et faillites du Tribunal cantonal le 3 mars 2014. Enfin, le Tribunal fédéral, saisi d’un recours de l’appelante, a déclaré celui-ci irrecevable. Ainsi, conformément à la jurisprudence rappelée ci-dessus, la Cour d’appel pénale ne peut pas revoir la légalité de l’injonction du 27 juin 2014 dans le cadre de la présente procédure, dès lors que cette question a été examinée précédemment dans le cadre d’une procédure qui s’est achevée au Tribunal fédéral. A fortiori, elle ne saurait se prononcer sur d’autres procédures judiciaires et en particulier le litige successoral qui oppose l’appelante à son beau-frère ou sur des infractions pénales qui n’auraient pas été poursuivies. Partant, notamment les arguments de l’appelante relatifs à l’estimation de la valeur des actions de W.________ SA qu’elle détient ne peuvent être examinés dans le cadre du présent appel.</w:t>
      </w:r>
    </w:p>
    <w:p>
      <w:r>
        <w:rPr>
          <w:b/>
        </w:rPr>
        <w:t>E. 4</w:t>
      </w:r>
    </w:p>
    <w:p>
      <w:r>
        <w:t>L’appelante reproche au Procureur de ne pas lui avoir désigné un défenseur d’office.</w:t>
      </w:r>
    </w:p>
    <w:p>
      <w:r>
        <w:rPr>
          <w:b/>
        </w:rPr>
        <w:t>E. 4.1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op. cit.,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4.2</w:t>
      </w:r>
    </w:p>
    <w:p>
      <w:r>
        <w:t>En l’espèce, l’affaire est de peu de gravité du fait que l’appelante a été condamnée à une amende. Par ailleurs, l’affaire pénale ne présente pas de difficulté sur le plan des faits et du droit, l’objet du litige étant circonscrit aux conditions de réalisation de l’art. 292 CP. Partant, les conditions de l’art. 132 CPP ne sont pas réunies et c’est à juste titre que le Procureur n’a pas désigné d’avocat d’office à l’appelante.</w:t>
      </w:r>
    </w:p>
    <w:p>
      <w:r>
        <w:rPr>
          <w:b/>
        </w:rPr>
        <w:t>E. 5</w:t>
      </w:r>
    </w:p>
    <w:p>
      <w:r>
        <w:t>En définitive, l'appel doit être rejeté et le jugement attaqué intégralement confirmé. Exceptionnellement,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