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258 vom 5. März 2015</w:t>
      </w:r>
    </w:p>
    <w:p>
      <w:r>
        <w:t>VD Tribunal cantonal, 2015-03-05, FR</w:t>
      </w:r>
    </w:p>
    <w:p>
      <w:r>
        <w:rPr>
          <w:b/>
        </w:rPr>
        <w:t xml:space="preserve">Quelle: </w:t>
      </w:r>
      <w:r>
        <w:t>https://mcp.opencaselaw.ch/entscheid/vd_findinfo_Jug___2015___258</w:t>
      </w:r>
    </w:p>
    <w:p>
      <w:r>
        <w:t>FR: VD_FINDINFO Jug / 2015 / 258 du 5 mars 2015</w:t>
      </w:r>
    </w:p>
    <w:p>
      <w:r>
        <w:t>IT: VD_FINDINFO Jug / 2015 / 258 del 5 marzo 2015</w:t>
      </w:r>
    </w:p>
    <w:p>
      <w:pPr>
        <w:pStyle w:val="Heading2"/>
      </w:pPr>
      <w:r>
        <w:t>Regeste</w:t>
      </w:r>
    </w:p>
    <w:p>
      <w:r>
        <w:t>EXPERTISE PSYCHIATRIQUE, MESURE THÉRAPEUTIQUE INSTITUTIONNELLE | 56a CP, 389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Il convient en premier lieu de revenir sur les réquisitions de preuve sollicitées à nouveau par l’appelante à l’audience d’appel.</w:t>
      </w:r>
    </w:p>
    <w:p>
      <w:r>
        <w:rPr>
          <w:b/>
        </w:rPr>
        <w:t>E. 3.1</w:t>
      </w:r>
    </w:p>
    <w:p>
      <w:r>
        <w:t>Sans en faire la réquisition de preuve formelle, l’appelante se plaint du fait que V.________ n’a été entendu que par les enquêteurs, alors qu’il est à la base des accusations portées contre elle. Le Tribunal de première instance ne pouvait de ce fait se fier à cette seule audition pour se forger une conviction. L’appelante n’a jamais demandé d’être confrontée à son compagnon durant l’instruction. Elle n’a pas davantage réagi lorsqu’il ne s’est pas présenté aux débats de première instance. L’appelante était assistée d’un défenseur d’office lors des débats du 5 mars 2015 ; il lui appartenait donc de demander dite confrontation à ce moment, ce qu’elle n’a pas fait (jgt., p. 2). Le fait de requérir cette confrontation au stade de l’appel constitue un abus de droit. Au surplus, la conviction du Tribunal ne repose pas tant sur les déclarations du plaignant que sur des éléments objectifs, tels que le rapport d’investigation du 19 septembre 2014 (P. 12), duquel il ressort notamment que le plaignant avait le visage ensanglanté lorsqu’il s’est présenté au poste de gendarmerie de [...] le 17 septembre 2014, le rapport de la police de sûreté du 6 octobre 2014 (P. 35) ainsi que le rapport médical du CURML du 6 octobre 2014 (P. 27). Une nouvelle audition de V.________ ne permettrait pas de modifier la conviction de la Cour. Partant, en application de l’art. 389 al. 3 CPP, il ne se justifie pas d’administrer cette preuve complémentaire.</w:t>
      </w:r>
    </w:p>
    <w:p>
      <w:r>
        <w:rPr>
          <w:b/>
        </w:rPr>
        <w:t>E. 3.2</w:t>
      </w:r>
    </w:p>
    <w:p>
      <w:r>
        <w:t>L’appelante sollicite la mise en œuvre d’un complément d’expertise en vue de répondre principalement à la question de savoir si un traitement institutionnel est recommandable même en l’absence de l’adhésion de l’intéressée au projet ou si, dans de telles circonstances, un traitement ambulatoire ne serait pas préférable. L’expertise psychiatrique déposée le 13 février 2015 préconise un traitement de type socio-thérapeutique et/ou corporel en milieu institutionnel. En présence d’un lourd passé de dépendance, ce sont les institutions spécialisées pour le traitement d’addictions qui sont les plus adéquates. Selon l’expert, ces propositions thérapeutiques institutionnelles resteraient indiquées même en cas de refus de l’intéressée, car elles tiendraient mieux compte de son « intérêt en terme de pronostic vital et d’épanouissement personnel et, indirectement, des intérêts des personnes qui la côtoient » (P. 77 p. 23 § (4 + 5.4)). A l’audience de première instance, l’expert psychiatre a précisé que les chances de succès du traitement étaient naturellement liées à l’adhésion du patient au suivi (P. 77 pp. 22 à 26 ; jgt., p. 7). Au vu de ce qui précède, l’expertise est parfaitement claire et répond à la question de l’appelante. Par ailleurs, il convient de préciser que, sur demande du Procureur, l’expert a été entendu à l’audience de première instance et que la prévenue, assistée de son défenseur, avait dès lors tout loisir de lui poser des questions. Partant, il ne se justifie pas d’ordonner de complément d’expertise.</w:t>
      </w:r>
    </w:p>
    <w:p>
      <w:r>
        <w:rPr>
          <w:b/>
        </w:rPr>
        <w:t>E. 3.3</w:t>
      </w:r>
    </w:p>
    <w:p>
      <w:r>
        <w:t>Enfin, l’appelante requiert l’audition de [...] et d’ [...] en qualité de témoins. L’appelante ne dit pas en quoi l’audition de ces témoins est nécessaire au traitement de l’appel, ni ne précise l’objet de leur audition. Par ailleurs, ces témoignages n’avaient pas été demandés en première instance. Dans ces circonstances, il ne se justifie pas de les entendre en procédure d’appel. Partant, cette réquisition de preuve doit également être rejetée.</w:t>
      </w:r>
    </w:p>
    <w:p>
      <w:r>
        <w:rPr>
          <w:b/>
        </w:rPr>
        <w:t>E. 4</w:t>
      </w:r>
    </w:p>
    <w:p>
      <w:r>
        <w:t>L’appelante invoque une appréciation incomplète des faits, les premiers juges se fondant, selon elle, uniquement sur les déclarations de V.________ pour forger leur conviction.</w:t>
      </w:r>
    </w:p>
    <w:p>
      <w:r>
        <w:rPr>
          <w:b/>
        </w:rPr>
        <w:t>E. 4.1.1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in : Commentaire romand, Code de procédure pénale suisse, Bâle 2011,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135 III 552 c. 4.2 ; TF 1C_517/2010 du 7 mars 2011 c. 2.1).</w:t>
      </w:r>
    </w:p>
    <w:p>
      <w:r>
        <w:rPr>
          <w:b/>
        </w:rPr>
        <w:t>E. 4.1.2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4.2</w:t>
      </w:r>
    </w:p>
    <w:p>
      <w:r>
        <w:t>Comme déjà indiqué ci-dessus (cf. c. 3.1), cette critique est vaine. Pour forger leur conviction, les premiers juges disposaient de constats policiers (P. 4, 12, 35 et 35/1) et de constatations médicales (P. 27). On relève également que la prévenue, si elle minimise ses actes, ne rejette pas en bloc les accusations de son compagnon. L’expertise psychiatrique (P. 77) et le casier judiciaire permettent quant à eux de situer le niveau de violence dont est capable la prévenue. Le Tribunal de première instance a parfaitement analysé les preuves au dossier et s’est montré mesuré dans l’appréciation juridique des faits, en écartant notamment la tentative de meurtre au profit de lésions corporelles simples qualifiées, au motif justement que hormis les déclarations de V.________, le dossier ne contenait aucun élément permettant de démentir la version des faits de la prévenue. Le Tribunal a en outre retenu des voies de fait qualifiées quand le Procureur envisageait des lésions corporelles simples qualifiées. C’est dire que le Tribunal n’a pas perdu de vue le contexte particulier de cette affaire, tel que mis en avant par l’appelante sous chiffre 3.1 et 3.2 (recte : 3.3) du mémoire d’appel et la part de doute présente dans ces affaires de violence conjugale. Au reste, l’appelante ne démontre pas en quoi le jugement serait incomplet, puisqu’elle se borne, abusivement, à dire que V.________ n’a pas été entendu.</w:t>
      </w:r>
    </w:p>
    <w:p>
      <w:r>
        <w:rPr>
          <w:b/>
        </w:rPr>
        <w:t>E. 4.3</w:t>
      </w:r>
    </w:p>
    <w:p>
      <w:r>
        <w:t>Le premier moyen doit être rejeté.</w:t>
      </w:r>
    </w:p>
    <w:p>
      <w:r>
        <w:rPr>
          <w:b/>
        </w:rPr>
        <w:t>E. 5.1</w:t>
      </w:r>
    </w:p>
    <w:p>
      <w:r>
        <w:t>L’appelante reproche aux premiers juges d’avoir ordonné une mesure institutionnelle sur la base d’un rapport d’expertise « biaisé ». Le rapport d’expertise, qui compte 28 pages, est détaillé et complet. L’expert a été entendu au Tribunal de première instance et il a confirmé la teneur de son rapport. Pour l’expert, l’évidence médicale est un placement en institution, tel que cela ressort du rapport (P. 77 pp. 25 à 26, pt 4.1 à 4.3) et des débats de première instance (jgt., p. 7). Le rapport est limpide et ne laisse aucune place à l’interprétation. Le traitement ambulatoire, qui n’est d’ailleurs pas recommandé par l’expert, a déjà été ordonné par le passé (jugement du Tribunal correctionnel de la Broye et du Nord vaudois, du 9 septembre 2006) et s’est soldé par un échec. L’intrication des troubles mentaux et des problèmes de dépendance aux stupéfiants est telle pour l’appelante (jgt., p. 7), que c’est à bon droit que le Tribunal a ordonné une double mesure institutionnelle comme le permet l’art. 56a al. 2 CP. Il appartiendra ainsi à l’Office d’exécution des peines de placer l’appelante dans l’institution la plus appropriée en cours d’exécution de la mesure, en accord avec le Service de médecine et psychiatrie pénitentiaires (SMPP). L’appelante soutient que l’expert l’aurait « prise en grippe », car il aurait refusé de lui rendre le salut qu’elle lui adressait à l’entrée et à la sortie de l’audience de première instance. Cette assertion est sans fondement et à supposer que cela soit vrai, rien ne permet d’en déduire que l’expert avait un parti pris contre l’expertisée.</w:t>
      </w:r>
    </w:p>
    <w:p>
      <w:r>
        <w:rPr>
          <w:b/>
        </w:rPr>
        <w:t>E. 5.2</w:t>
      </w:r>
    </w:p>
    <w:p>
      <w:r>
        <w:t>La mesure institutionnelle doit donc être confirmée.</w:t>
      </w:r>
    </w:p>
    <w:p>
      <w:r>
        <w:rPr>
          <w:b/>
        </w:rPr>
        <w:t>E. 6</w:t>
      </w:r>
    </w:p>
    <w:p>
      <w:r>
        <w:t>Enfin, l’appelante conteste la quotité de la peine, jugée trop sévère.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w:t>
      </w:r>
    </w:p>
    <w:p>
      <w:r>
        <w:rPr>
          <w:b/>
        </w:rPr>
        <w:t>E. 6.2</w:t>
      </w:r>
    </w:p>
    <w:p>
      <w:r>
        <w:t>La culpabilité de X.________ est lourde. Elle s’en est prise à plusieurs reprises à son compagnon au moyen de tous les objets qui lui passaient sous la main et elle a multiplié les actes de violence sur une relativement courte période. Le fait que la prévenue ait eu une relation très houleuse avec V.________ et que ce dernier se soit probablement également livré à des actes de violence sur elle ne permet pas d’excuser les actes de la prévenue ou d’en minimiser l’importance. L’appelante ne soutient d’ailleurs pas qu’elle devrait bénéficier d’une circonstance atténuante au sens de l’art. 48a CP. A décharge, il sera tenu compte d’une diminution de responsabilité légère à moyenne à dires d’experts. Le parcours de vie difficile de X.________, sa situation de santé, sa vulnérabilité et sa fragilité seront également pris en considération. Procédant à sa propre appréciation, la Cour d’appel considère que la peine privative de liberté de quatorze mois prononcée par les premiers juges est adéquate et doit être confirmée.</w:t>
      </w:r>
    </w:p>
    <w:p>
      <w:r>
        <w:rPr>
          <w:b/>
        </w:rPr>
        <w:t>E. 7</w:t>
      </w:r>
    </w:p>
    <w:p>
      <w:r>
        <w:t>Une erreur de plume s'est glissée au chiffre II du dispositif du Tribunal correctionnel de l'arrondissement de la Broye et du Nord vaudois, en ce sens que la prévenue ne s’est pas rendue coupable de tentative de voies de faits qualifiées, ce que le dispositif omet de constater. Le dispositif sera par conséquent modifié d'office.</w:t>
      </w:r>
    </w:p>
    <w:p>
      <w:r>
        <w:rPr>
          <w:b/>
        </w:rPr>
        <w:t>E. 8</w:t>
      </w:r>
    </w:p>
    <w:p>
      <w:r>
        <w:t>En définitive, l’appel doit être rejeté et l’ordonnance attaquée confirmée. Vu l'issue de la cause, les frais d’appel, constitués de l'émolument de jugement, par 1’940 fr. (art. 21 al. 1 et 2 TFIP [Tarif des frais de procédure et indemnités en matière pénale du 28 septembre 2010; RSV 312.03.1]), ainsi que des frais d’expertise, par 7'000 fr., et de l’indemnité allouée au conseil d’office de X.________, par 2'089 fr. 10, qui correspond à dix heures à 180 fr. et 134 fr. 35, plus TVA, sont mis à la charge de l’appelante qui succombe. X.________ ne sera tenue de rembourser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