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251 vom 16. Juni 2015</w:t>
      </w:r>
    </w:p>
    <w:p>
      <w:r>
        <w:t>VD Tribunal cantonal, 2015-06-16, FR</w:t>
      </w:r>
    </w:p>
    <w:p>
      <w:r>
        <w:rPr>
          <w:b/>
        </w:rPr>
        <w:t xml:space="preserve">Quelle: </w:t>
      </w:r>
      <w:r>
        <w:t>https://mcp.opencaselaw.ch/entscheid/vd_findinfo_Jug___2015___251</w:t>
      </w:r>
    </w:p>
    <w:p>
      <w:r>
        <w:t>FR: VD_FINDINFO Jug / 2015 / 251 du 16 juin 2015</w:t>
      </w:r>
    </w:p>
    <w:p>
      <w:r>
        <w:t>IT: VD_FINDINFO Jug / 2015 / 251 del 16 giugno 2015</w:t>
      </w:r>
    </w:p>
    <w:p>
      <w:pPr>
        <w:pStyle w:val="Heading2"/>
      </w:pPr>
      <w:r>
        <w:t>Regeste</w:t>
      </w:r>
    </w:p>
    <w:p>
      <w:r>
        <w:t>SÉJOUR ILLÉGAL | 115 al. 1 let. b LEtr</w:t>
      </w:r>
    </w:p>
    <w:p>
      <w:pPr>
        <w:pStyle w:val="Heading2"/>
      </w:pPr>
      <w:r>
        <w:t>Erwägungen</w:t>
      </w:r>
    </w:p>
    <w:p>
      <w:r>
        <w:rPr>
          <w:b/>
        </w:rPr>
        <w:t>E. 1</w:t>
      </w:r>
    </w:p>
    <w:p>
      <w:r>
        <w:t>Interjeté dans les formes et délais légaux (art. 399 CPP; Code de procédure pénale suisse du 5 octobre 2007; RS 312.0) par une partie ayant la qualité pour recourir contre le jugement d’un tribunal de première instance ayant clos la procédure (art. 398 al. 1 CPP), l'appel d'Y.________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conteste sa condamnation pour infraction à l'art. 115 al. 1 let. b LEtr (Loi fédérale sur les étrangers du 16 décembre 2005; RS 142. 20). Il fait valoir qu'il ne pouvait pas quitter la Suisse entre le 24 juin et le 20 octobre 2014 (à savoir durant la période correspondant à la durée de l'activité délictueuse retenue), car il devait rester à la disposition des autorités pénales et répondre ainsi aux convocations.</w:t>
      </w:r>
    </w:p>
    <w:p>
      <w:r>
        <w:rPr>
          <w:b/>
        </w:rPr>
        <w:t>E. 3.1</w:t>
      </w:r>
    </w:p>
    <w:p>
      <w:r>
        <w:t>L'art. 115 al. 1 let. b LEtr punit quiconque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(art. 10 al. 1 LEtr et 9 OASA [Ordonnance relative à l'admission, au séjour et à l'exercice d'une activité lucrative, du 24 octobre 2005; RS 142. 201]). Selon l'art. 204 CPP, si les personnes citées à comparaître se trouvent à l'étranger, le ministère public ou la direction de la procédure du tribunal peut leur accorder un sauf-conduit (al. 1). Une personne qui bénéficie d'un sauf-conduit ne peut être arrêtée en Suisse en raison d'infractions commises ou de condamnations prononcées avant son séjour, ni y être soumise à d'autres mesures entraînant une privation de liberté (al. 2).</w:t>
      </w:r>
    </w:p>
    <w:p>
      <w:r>
        <w:rPr>
          <w:b/>
        </w:rPr>
        <w:t>E. 3.2</w:t>
      </w:r>
    </w:p>
    <w:p>
      <w:r>
        <w:t>En l'espèce, l'appelant séjourne illicitement en Suisse depuis de nombreuses années (P. 4). Il a déjà été condamné à de nombreuses reprises pour ce motif à des peines privatives de liberté fermes. Les procédures pénales en cours ne l'autorisaient nullement à séjourner en Suisse, ce que l'intéressé ne pouvait ignorer. Il devait impérativement quitter le pays et si l'appelant entendait se présenter à la convocation d'une autorité pénale, il lui incombait d'adresser une demande de sauf-conduit depuis l'étranger.</w:t>
      </w:r>
    </w:p>
    <w:p>
      <w:r>
        <w:rPr>
          <w:b/>
        </w:rPr>
        <w:t>E. 4</w:t>
      </w:r>
    </w:p>
    <w:p>
      <w:r>
        <w:t>La condamnation pour infraction à l'art. 115 al. 1 let. b LEtr doit ainsi être confirmée et l'appel rejeté aux frais de son auteur (art. 428 al. 1 CPP). Le prévenu n'étant pas représenté par un avocat, les frais d'appel mis à sa charge se composent du seul émolument d'arrêt (art. 422 CPP), lequel se monte à 950 fr., frais d'audience inclus (art. 21 al. 1 et 2 TFIP [tarif des frais de procédure et indemnités en matière pénale; RSV 312.03.1]).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